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97" w:rsidRPr="00B40F97" w:rsidRDefault="00B40F97" w:rsidP="00B241A5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F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B40F97" w:rsidRPr="00B40F97" w:rsidRDefault="00B40F97" w:rsidP="00B241A5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F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Правительства</w:t>
      </w:r>
    </w:p>
    <w:p w:rsidR="00B40F97" w:rsidRPr="00B40F97" w:rsidRDefault="00B40F97" w:rsidP="00B241A5">
      <w:pPr>
        <w:widowControl w:val="0"/>
        <w:tabs>
          <w:tab w:val="left" w:pos="864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F9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B40F97" w:rsidRPr="00F7615C" w:rsidRDefault="00B40F97">
      <w:pPr>
        <w:pStyle w:val="ConsPlusTitlePage"/>
        <w:rPr>
          <w:rFonts w:ascii="Times New Roman" w:hAnsi="Times New Roman" w:cs="Times New Roman"/>
          <w:szCs w:val="20"/>
        </w:rPr>
      </w:pPr>
      <w:r>
        <w:br/>
      </w:r>
    </w:p>
    <w:p w:rsidR="00B40F97" w:rsidRPr="00F7615C" w:rsidRDefault="00B40F9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</w:p>
    <w:p w:rsidR="00F304FE" w:rsidRPr="00F7615C" w:rsidRDefault="00F304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</w:p>
    <w:p w:rsidR="00F304FE" w:rsidRPr="00F7615C" w:rsidRDefault="00F304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</w:p>
    <w:p w:rsidR="00F304FE" w:rsidRPr="00F7615C" w:rsidRDefault="00F304F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0"/>
        </w:rPr>
      </w:pPr>
    </w:p>
    <w:p w:rsidR="00B40F97" w:rsidRPr="00B40F97" w:rsidRDefault="00B40F97" w:rsidP="00B40F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б установлении категории граждан, которой предоставляются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служебные жилые помещения специализированного жилищного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 области, принадлежащие на праве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хозяйственного ведения или оперативного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подведомственным министерству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 области государственным учреждениям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 области, и определении порядка предоставления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жилых помещений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 фонда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 области, принадлежащих на праве хозяйственного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ведения или оперативного управления подведомственным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  <w:r w:rsidR="0006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 xml:space="preserve">области государственным учреждениям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0F97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proofErr w:type="gramEnd"/>
    </w:p>
    <w:p w:rsidR="0054508E" w:rsidRPr="00F7615C" w:rsidRDefault="0054508E" w:rsidP="00B40F9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E74F2" w:rsidRPr="00B40F97" w:rsidRDefault="00EE74F2" w:rsidP="00EE7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4F2" w:rsidRPr="004F3A6B" w:rsidRDefault="00EE74F2" w:rsidP="00EE74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061E67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061E67">
          <w:rPr>
            <w:rFonts w:ascii="Times New Roman" w:hAnsi="Times New Roman" w:cs="Times New Roman"/>
            <w:sz w:val="28"/>
            <w:szCs w:val="28"/>
          </w:rPr>
          <w:t>104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1E6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061E67">
          <w:rPr>
            <w:rFonts w:ascii="Times New Roman" w:hAnsi="Times New Roman" w:cs="Times New Roman"/>
            <w:sz w:val="28"/>
            <w:szCs w:val="28"/>
          </w:rPr>
          <w:t>статьями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61E67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061E67">
          <w:rPr>
            <w:rFonts w:ascii="Times New Roman" w:hAnsi="Times New Roman" w:cs="Times New Roman"/>
            <w:sz w:val="28"/>
            <w:szCs w:val="28"/>
          </w:rPr>
          <w:t>33.1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061E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 xml:space="preserve">06.07.2018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1E67">
        <w:rPr>
          <w:rFonts w:ascii="Times New Roman" w:hAnsi="Times New Roman" w:cs="Times New Roman"/>
          <w:sz w:val="28"/>
          <w:szCs w:val="28"/>
        </w:rPr>
        <w:t xml:space="preserve"> 271-ОЗ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E67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61E67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6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Pr="004F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11A" w:rsidRPr="00061E67" w:rsidRDefault="000C111A" w:rsidP="000C1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E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061E67">
        <w:rPr>
          <w:rFonts w:ascii="Times New Roman" w:hAnsi="Times New Roman" w:cs="Times New Roman"/>
          <w:sz w:val="28"/>
          <w:szCs w:val="28"/>
        </w:rPr>
        <w:t xml:space="preserve">Установить, что служебные жилые помещения специализированного жилищного фонда Новосибирской области, принадлежащие на праве хозяйственного ведения или оперативного управления подведомственным министерству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61E67">
        <w:rPr>
          <w:rFonts w:ascii="Times New Roman" w:hAnsi="Times New Roman" w:cs="Times New Roman"/>
          <w:sz w:val="28"/>
          <w:szCs w:val="28"/>
        </w:rPr>
        <w:t xml:space="preserve"> Новосибирской области государственным учреждениям Новосибирской области, предоставляются работникам государственных учреждений Новосибирской области, 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61E67">
        <w:rPr>
          <w:rFonts w:ascii="Times New Roman" w:hAnsi="Times New Roman" w:cs="Times New Roman"/>
          <w:sz w:val="28"/>
          <w:szCs w:val="28"/>
        </w:rPr>
        <w:t xml:space="preserve"> Новосибирской области, не обеспеченным жилыми помещениями.</w:t>
      </w:r>
      <w:proofErr w:type="gramEnd"/>
    </w:p>
    <w:p w:rsidR="000C111A" w:rsidRPr="00B40F97" w:rsidRDefault="000C111A" w:rsidP="000C1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E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1E67">
        <w:rPr>
          <w:rFonts w:ascii="Times New Roman" w:hAnsi="Times New Roman" w:cs="Times New Roman"/>
          <w:sz w:val="28"/>
          <w:szCs w:val="28"/>
        </w:rPr>
        <w:t xml:space="preserve">Определить </w:t>
      </w:r>
      <w:hyperlink w:anchor="P36">
        <w:r w:rsidRPr="00061E6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61E67">
        <w:rPr>
          <w:rFonts w:ascii="Times New Roman" w:hAnsi="Times New Roman" w:cs="Times New Roman"/>
          <w:sz w:val="28"/>
          <w:szCs w:val="28"/>
        </w:rPr>
        <w:t xml:space="preserve"> пр</w:t>
      </w:r>
      <w:r w:rsidRPr="00B40F97">
        <w:rPr>
          <w:rFonts w:ascii="Times New Roman" w:hAnsi="Times New Roman" w:cs="Times New Roman"/>
          <w:sz w:val="28"/>
          <w:szCs w:val="28"/>
        </w:rPr>
        <w:t xml:space="preserve">едоставления жилых помещений специализированного жилищного фонда Новосибирской области, принадлежащих на праве хозяйственного ведения или оперативного управления подведомственным министерству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40F97">
        <w:rPr>
          <w:rFonts w:ascii="Times New Roman" w:hAnsi="Times New Roman" w:cs="Times New Roman"/>
          <w:sz w:val="28"/>
          <w:szCs w:val="28"/>
        </w:rPr>
        <w:t xml:space="preserve"> Новосибирской области государственным учреждениям Новосибирской области, согласно приложению к настоящему постановлению.</w:t>
      </w:r>
    </w:p>
    <w:p w:rsidR="000C111A" w:rsidRDefault="000C111A" w:rsidP="000C1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0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F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061E67" w:rsidRPr="00F7615C" w:rsidRDefault="00061E67" w:rsidP="00B40F9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C43E7C" w:rsidRDefault="00C43E7C" w:rsidP="00B40F9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B241A5" w:rsidRPr="00F7615C" w:rsidRDefault="00B241A5" w:rsidP="00B40F9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B40F97" w:rsidRPr="00B40F97" w:rsidRDefault="00B40F97" w:rsidP="00061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0F97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061E6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49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E67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А.А.</w:t>
      </w:r>
      <w:r w:rsidR="00061E67">
        <w:rPr>
          <w:rFonts w:ascii="Times New Roman" w:hAnsi="Times New Roman" w:cs="Times New Roman"/>
          <w:sz w:val="28"/>
          <w:szCs w:val="28"/>
        </w:rPr>
        <w:t xml:space="preserve"> </w:t>
      </w:r>
      <w:r w:rsidRPr="00B40F97">
        <w:rPr>
          <w:rFonts w:ascii="Times New Roman" w:hAnsi="Times New Roman" w:cs="Times New Roman"/>
          <w:sz w:val="28"/>
          <w:szCs w:val="28"/>
        </w:rPr>
        <w:t>Т</w:t>
      </w:r>
      <w:r w:rsidR="00061E67" w:rsidRPr="00B40F97">
        <w:rPr>
          <w:rFonts w:ascii="Times New Roman" w:hAnsi="Times New Roman" w:cs="Times New Roman"/>
          <w:sz w:val="28"/>
          <w:szCs w:val="28"/>
        </w:rPr>
        <w:t>равников</w:t>
      </w:r>
    </w:p>
    <w:p w:rsidR="0043076B" w:rsidRDefault="0043076B" w:rsidP="00627E0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3076B" w:rsidRDefault="0054508E" w:rsidP="00627E0B">
      <w:pPr>
        <w:pStyle w:val="ConsPlusNormal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Cs w:val="20"/>
        </w:rPr>
        <w:t>С.В.</w:t>
      </w:r>
      <w:r w:rsidR="00F81F9F" w:rsidRPr="00F81F9F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81F9F" w:rsidRPr="00F81F9F">
        <w:rPr>
          <w:rFonts w:ascii="Times New Roman" w:hAnsi="Times New Roman" w:cs="Times New Roman"/>
          <w:szCs w:val="20"/>
        </w:rPr>
        <w:t>Федорчук</w:t>
      </w:r>
      <w:proofErr w:type="spellEnd"/>
    </w:p>
    <w:p w:rsidR="00F81F9F" w:rsidRDefault="00F81F9F" w:rsidP="00627E0B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F81F9F">
        <w:rPr>
          <w:rFonts w:ascii="Times New Roman" w:hAnsi="Times New Roman" w:cs="Times New Roman"/>
          <w:szCs w:val="20"/>
        </w:rPr>
        <w:t>238-7</w:t>
      </w:r>
      <w:r w:rsidR="00C43E7C">
        <w:rPr>
          <w:rFonts w:ascii="Times New Roman" w:hAnsi="Times New Roman" w:cs="Times New Roman"/>
          <w:szCs w:val="20"/>
        </w:rPr>
        <w:t>3</w:t>
      </w:r>
      <w:r w:rsidRPr="00F81F9F">
        <w:rPr>
          <w:rFonts w:ascii="Times New Roman" w:hAnsi="Times New Roman" w:cs="Times New Roman"/>
          <w:szCs w:val="20"/>
        </w:rPr>
        <w:t>-20</w:t>
      </w:r>
    </w:p>
    <w:p w:rsidR="0043076B" w:rsidRPr="0043076B" w:rsidRDefault="0043076B" w:rsidP="00430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43076B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lastRenderedPageBreak/>
        <w:t xml:space="preserve">СОГЛАСОВАНО: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2"/>
        <w:gridCol w:w="4658"/>
      </w:tblGrid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Первый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заместитель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Губернатора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Ю.Ф.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Петухов</w:t>
            </w:r>
            <w:proofErr w:type="spellEnd"/>
          </w:p>
          <w:p w:rsidR="0043076B" w:rsidRPr="0043076B" w:rsidRDefault="0043076B" w:rsidP="009C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9C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Заместитель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Губернатора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Новосибирской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области</w:t>
            </w:r>
            <w:proofErr w:type="spellEnd"/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С.А. 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Нелюбов</w:t>
            </w:r>
            <w:proofErr w:type="spellEnd"/>
          </w:p>
          <w:p w:rsidR="0043076B" w:rsidRPr="0043076B" w:rsidRDefault="0043076B" w:rsidP="009C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9C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Голубенко</w:t>
            </w:r>
          </w:p>
          <w:p w:rsidR="0043076B" w:rsidRPr="0043076B" w:rsidRDefault="0043076B" w:rsidP="009C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9C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 </w:t>
            </w:r>
          </w:p>
        </w:tc>
      </w:tr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</w:p>
        </w:tc>
      </w:tr>
      <w:tr w:rsidR="0043076B" w:rsidRPr="0043076B" w:rsidTr="00F7169A">
        <w:tc>
          <w:tcPr>
            <w:tcW w:w="5262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 </w:t>
            </w:r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076B" w:rsidRPr="0043076B" w:rsidRDefault="0043076B" w:rsidP="00430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.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. </w:t>
            </w:r>
            <w:proofErr w:type="spellStart"/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43076B" w:rsidRPr="0043076B" w:rsidRDefault="0043076B" w:rsidP="009C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9C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</w:tbl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2"/>
        <w:gridCol w:w="4658"/>
      </w:tblGrid>
      <w:tr w:rsidR="00B60377" w:rsidRPr="0043076B" w:rsidTr="001570F8">
        <w:tc>
          <w:tcPr>
            <w:tcW w:w="5262" w:type="dxa"/>
          </w:tcPr>
          <w:p w:rsidR="00B60377" w:rsidRPr="0043076B" w:rsidRDefault="00B60377" w:rsidP="001570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430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</w:p>
          <w:p w:rsidR="00B60377" w:rsidRPr="0043076B" w:rsidRDefault="00B60377" w:rsidP="001570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</w:tcPr>
          <w:p w:rsidR="00B60377" w:rsidRPr="0043076B" w:rsidRDefault="00B60377" w:rsidP="001570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377" w:rsidRPr="00B60377" w:rsidRDefault="00B60377" w:rsidP="001570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Федорчук</w:t>
            </w:r>
          </w:p>
          <w:p w:rsidR="00B60377" w:rsidRPr="0043076B" w:rsidRDefault="00B60377" w:rsidP="009C3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«____»_________202</w:t>
            </w:r>
            <w:r w:rsidR="009C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3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</w:tbl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73" w:rsidRDefault="009C3E73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</w:t>
      </w:r>
      <w:r w:rsidR="0043076B"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–</w:t>
      </w:r>
    </w:p>
    <w:p w:rsidR="009C3E73" w:rsidRDefault="009C3E73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r w:rsidR="0043076B"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правового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076B"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сопровождения</w:t>
      </w:r>
    </w:p>
    <w:p w:rsidR="009C3E73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организационно-правового</w:t>
      </w:r>
      <w:r w:rsidR="009C3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Минобразования Новосибирской</w:t>
      </w:r>
      <w:r w:rsidR="009C3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  </w:t>
      </w:r>
      <w:r w:rsidR="009C3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А.Н. Гольдман</w:t>
      </w:r>
      <w:r w:rsidRPr="00430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Pr="0043076B" w:rsidRDefault="0043076B" w:rsidP="0043076B">
      <w:pPr>
        <w:widowControl w:val="0"/>
        <w:tabs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76B" w:rsidRDefault="0043076B" w:rsidP="00627E0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F7615C" w:rsidRDefault="00F7615C" w:rsidP="00627E0B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F7615C" w:rsidSect="00F761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F5" w:rsidRDefault="001207F5" w:rsidP="007B0AC1">
      <w:pPr>
        <w:spacing w:after="0" w:line="240" w:lineRule="auto"/>
      </w:pPr>
      <w:r>
        <w:separator/>
      </w:r>
    </w:p>
  </w:endnote>
  <w:endnote w:type="continuationSeparator" w:id="0">
    <w:p w:rsidR="001207F5" w:rsidRDefault="001207F5" w:rsidP="007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5C" w:rsidRDefault="00F761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5C" w:rsidRDefault="00F761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5C" w:rsidRDefault="00F761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F5" w:rsidRDefault="001207F5" w:rsidP="007B0AC1">
      <w:pPr>
        <w:spacing w:after="0" w:line="240" w:lineRule="auto"/>
      </w:pPr>
      <w:r>
        <w:separator/>
      </w:r>
    </w:p>
  </w:footnote>
  <w:footnote w:type="continuationSeparator" w:id="0">
    <w:p w:rsidR="001207F5" w:rsidRDefault="001207F5" w:rsidP="007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5C" w:rsidRDefault="00F761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C1" w:rsidRDefault="007B0AC1">
    <w:pPr>
      <w:pStyle w:val="a5"/>
      <w:jc w:val="center"/>
    </w:pPr>
  </w:p>
  <w:p w:rsidR="007B0AC1" w:rsidRPr="007B0AC1" w:rsidRDefault="007B0AC1" w:rsidP="007B0A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C1" w:rsidRDefault="007B0AC1">
    <w:pPr>
      <w:pStyle w:val="a5"/>
      <w:jc w:val="center"/>
    </w:pPr>
  </w:p>
  <w:p w:rsidR="007B0AC1" w:rsidRDefault="007B0A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7"/>
    <w:rsid w:val="00000B80"/>
    <w:rsid w:val="00061E67"/>
    <w:rsid w:val="000C111A"/>
    <w:rsid w:val="001207F5"/>
    <w:rsid w:val="00124559"/>
    <w:rsid w:val="001D767B"/>
    <w:rsid w:val="00241328"/>
    <w:rsid w:val="00271368"/>
    <w:rsid w:val="00364919"/>
    <w:rsid w:val="0043076B"/>
    <w:rsid w:val="0054508E"/>
    <w:rsid w:val="00567442"/>
    <w:rsid w:val="0060269E"/>
    <w:rsid w:val="00627E0B"/>
    <w:rsid w:val="007662D3"/>
    <w:rsid w:val="007B0AC1"/>
    <w:rsid w:val="007C40F7"/>
    <w:rsid w:val="0098455A"/>
    <w:rsid w:val="009C3E73"/>
    <w:rsid w:val="00A82240"/>
    <w:rsid w:val="00A84926"/>
    <w:rsid w:val="00AD765C"/>
    <w:rsid w:val="00B241A5"/>
    <w:rsid w:val="00B40F97"/>
    <w:rsid w:val="00B60377"/>
    <w:rsid w:val="00B72B05"/>
    <w:rsid w:val="00B74312"/>
    <w:rsid w:val="00BC6B37"/>
    <w:rsid w:val="00C43E7C"/>
    <w:rsid w:val="00C66514"/>
    <w:rsid w:val="00C7684F"/>
    <w:rsid w:val="00D706C8"/>
    <w:rsid w:val="00E21C83"/>
    <w:rsid w:val="00EE74F2"/>
    <w:rsid w:val="00F2183F"/>
    <w:rsid w:val="00F304FE"/>
    <w:rsid w:val="00F7615C"/>
    <w:rsid w:val="00F81F9F"/>
    <w:rsid w:val="00F90606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40F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0F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AC1"/>
  </w:style>
  <w:style w:type="paragraph" w:styleId="a7">
    <w:name w:val="footer"/>
    <w:basedOn w:val="a"/>
    <w:link w:val="a8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40F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0F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0F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AC1"/>
  </w:style>
  <w:style w:type="paragraph" w:styleId="a7">
    <w:name w:val="footer"/>
    <w:basedOn w:val="a"/>
    <w:link w:val="a8"/>
    <w:uiPriority w:val="99"/>
    <w:unhideWhenUsed/>
    <w:rsid w:val="007B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8E4C689CFC2FBFC6B40404B685C190FD1FA0F1FE9309D828F03710B2C3BF351EB9F2FE94EE7A898AFBD5CFEEE4995ECA20C19215E5992EEy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8E4C689CFC2FBFC6B40404B685C190FD1FA0F1FE9309D828F03710B2C3BF351EB9F2FE94EE0AB9AAFBD5CFEEE4995ECA20C19215E5992EEy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98E4C689CFC2FBFC6B5E4D5D04021002D8A40617E439C3D7DB0526547C3DA611AB997AAA0AECAA9CA4ED09B9B010C4A1E9011136425998F1228E80E4yE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B98E4C689CFC2FBFC6B5E4D5D04021002D8A40617E439C3D7DB0526547C3DA611AB997AAA0AECAA9CA4ED0BB8B010C4A1E9011136425998F1228E80E4yE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8E4C689CFC2FBFC6B5E4D5D04021002D8A40617E439C3D7DB0526547C3DA611AB997AAA0AECAA9CA4ED09B8B010C4A1E9011136425998F1228E80E4y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Гольдман Алена Николаевна</dc:creator>
  <cp:lastModifiedBy>Малярчук Инга Юрьевна</cp:lastModifiedBy>
  <cp:revision>4</cp:revision>
  <cp:lastPrinted>2022-09-22T05:02:00Z</cp:lastPrinted>
  <dcterms:created xsi:type="dcterms:W3CDTF">2022-09-22T10:30:00Z</dcterms:created>
  <dcterms:modified xsi:type="dcterms:W3CDTF">2023-03-22T10:31:00Z</dcterms:modified>
</cp:coreProperties>
</file>