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312" w:rsidRDefault="007A5312">
      <w:pPr>
        <w:jc w:val="center"/>
        <w:rPr>
          <w:shd w:val="clear" w:color="auto" w:fill="FFFFFF"/>
        </w:rPr>
      </w:pPr>
    </w:p>
    <w:p w:rsidR="007A5312" w:rsidRDefault="00062241">
      <w:pPr>
        <w:jc w:val="center"/>
        <w:rPr>
          <w:shd w:val="clear" w:color="auto" w:fill="FFFFFF"/>
        </w:rPr>
      </w:pPr>
      <w:r>
        <w:rPr>
          <w:shd w:val="clear" w:color="auto" w:fill="FFFFFF"/>
        </w:rPr>
        <w:t xml:space="preserve">О внесении изменений </w:t>
      </w:r>
      <w:r>
        <w:rPr>
          <w:bCs/>
          <w:shd w:val="clear" w:color="auto" w:fill="FFFFFF"/>
        </w:rPr>
        <w:t>в приказ департамента имущества и земельных отношений Новосибирской области от 01.07.2021 № 2225</w:t>
      </w:r>
    </w:p>
    <w:p w:rsidR="007A5312" w:rsidRDefault="007A5312">
      <w:pPr>
        <w:ind w:firstLine="709"/>
        <w:jc w:val="both"/>
        <w:rPr>
          <w:sz w:val="26"/>
          <w:szCs w:val="26"/>
        </w:rPr>
      </w:pPr>
    </w:p>
    <w:p w:rsidR="007A5312" w:rsidRDefault="00062241">
      <w:pPr>
        <w:ind w:firstLine="709"/>
        <w:jc w:val="both"/>
        <w:rPr>
          <w:b/>
          <w:color w:val="000000"/>
          <w:shd w:val="clear" w:color="auto" w:fill="FFFFFF"/>
        </w:rPr>
      </w:pPr>
      <w:r>
        <w:rPr>
          <w:b/>
          <w:color w:val="000000"/>
          <w:shd w:val="clear" w:color="auto" w:fill="FFFFFF"/>
        </w:rPr>
        <w:t>П р и </w:t>
      </w:r>
      <w:proofErr w:type="gramStart"/>
      <w:r>
        <w:rPr>
          <w:b/>
          <w:color w:val="000000"/>
          <w:shd w:val="clear" w:color="auto" w:fill="FFFFFF"/>
        </w:rPr>
        <w:t>к</w:t>
      </w:r>
      <w:proofErr w:type="gramEnd"/>
      <w:r>
        <w:rPr>
          <w:b/>
          <w:color w:val="000000"/>
          <w:shd w:val="clear" w:color="auto" w:fill="FFFFFF"/>
        </w:rPr>
        <w:t> а з ы в а ю:</w:t>
      </w:r>
    </w:p>
    <w:p w:rsidR="007A5312" w:rsidRDefault="00062241">
      <w:pPr>
        <w:ind w:firstLine="709"/>
        <w:jc w:val="both"/>
        <w:rPr>
          <w:color w:val="000000"/>
          <w:shd w:val="clear" w:color="auto" w:fill="FFFFFF"/>
        </w:rPr>
      </w:pPr>
      <w:r>
        <w:rPr>
          <w:color w:val="000000"/>
          <w:shd w:val="clear" w:color="auto" w:fill="FFFFFF"/>
        </w:rPr>
        <w:t xml:space="preserve">Внести в приказ департамента имущества и земельных отношений Новосибирской области </w:t>
      </w:r>
      <w:r>
        <w:rPr>
          <w:bCs/>
          <w:shd w:val="clear" w:color="auto" w:fill="FFFFFF"/>
        </w:rPr>
        <w:t>от 01.07.2021 № 2225</w:t>
      </w:r>
      <w:r>
        <w:rPr>
          <w:color w:val="000000"/>
          <w:shd w:val="clear" w:color="auto" w:fill="FFFFFF"/>
        </w:rPr>
        <w:t xml:space="preserve"> «Об утверждении Инструкции по документационному обеспечению департамента имущества и земельных отношений Новосибирской области» следующие изменения:</w:t>
      </w:r>
    </w:p>
    <w:p w:rsidR="007A5312" w:rsidRDefault="00062241">
      <w:pPr>
        <w:ind w:firstLine="709"/>
        <w:jc w:val="both"/>
        <w:rPr>
          <w:shd w:val="clear" w:color="auto" w:fill="FFFFFF"/>
        </w:rPr>
      </w:pPr>
      <w:r>
        <w:t>В</w:t>
      </w:r>
      <w:r>
        <w:rPr>
          <w:shd w:val="clear" w:color="auto" w:fill="FFFFFF"/>
        </w:rPr>
        <w:t xml:space="preserve"> </w:t>
      </w:r>
      <w:r>
        <w:t>Инструкции по документационному обеспечению департамента имущества и земельных отношений Новосибирской о</w:t>
      </w:r>
      <w:r>
        <w:t>бласти:</w:t>
      </w:r>
    </w:p>
    <w:p w:rsidR="007A5312" w:rsidRDefault="00062241">
      <w:pPr>
        <w:ind w:firstLine="709"/>
        <w:jc w:val="both"/>
      </w:pPr>
      <w:r>
        <w:t>1. Пункт 66 изложить в следующей редакции:</w:t>
      </w:r>
    </w:p>
    <w:p w:rsidR="007A5312" w:rsidRDefault="00062241">
      <w:pPr>
        <w:ind w:firstLine="709"/>
        <w:jc w:val="both"/>
      </w:pPr>
      <w:r>
        <w:t>«66. Согласование проектов приказов осуществляется в СЭДД.</w:t>
      </w:r>
    </w:p>
    <w:p w:rsidR="007A5312" w:rsidRDefault="00062241">
      <w:pPr>
        <w:ind w:firstLine="709"/>
        <w:jc w:val="both"/>
      </w:pPr>
      <w:r>
        <w:t>Тексты проектов приказов, содержащие служебную информацию ограниченного распространения, при создании регистрационно-контрольной карточки (далее -</w:t>
      </w:r>
      <w:r>
        <w:t xml:space="preserve"> РКК) не размещаются в СЭДД и подлежат согласованию должностными лицами департамента на бумажном носителе в соответствии с </w:t>
      </w:r>
      <w:hyperlink r:id="rId7" w:tooltip="consultantplus://offline/ref=772379CE6E34CD20E7CF47D28568401590A493759A2D67AF9A50E4A4710CEF7F0A197689EA5CF8D07F221B3E2D1056C630D89FCDBB1E0D7DD19DC5AAr8MCK" w:history="1">
        <w:r>
          <w:t>пунктом 29</w:t>
        </w:r>
      </w:hyperlink>
      <w:r>
        <w:t xml:space="preserve"> настоящей Инструкции с последующим отражением р</w:t>
      </w:r>
      <w:r>
        <w:t>езультатов согласования в СЭДД. Проект приказа, подлежащий согласованию на бумажном носителе, представляется на согласование на бумажном носителе в одном экземпляре. Параллельное представление на согласование нескольких идентичных экземпляров одного и того</w:t>
      </w:r>
      <w:r>
        <w:t xml:space="preserve"> же проекта приказа не допускается.</w:t>
      </w:r>
    </w:p>
    <w:p w:rsidR="007A5312" w:rsidRDefault="00062241">
      <w:pPr>
        <w:ind w:firstLine="709"/>
        <w:jc w:val="both"/>
      </w:pPr>
      <w:r>
        <w:t>Проект приказа согласовывается в следующей последовательности:</w:t>
      </w:r>
    </w:p>
    <w:p w:rsidR="007A5312" w:rsidRDefault="00062241">
      <w:pPr>
        <w:shd w:val="clear" w:color="FFFFFF" w:themeColor="background1" w:fill="FFFFFF" w:themeFill="background1"/>
        <w:ind w:firstLine="709"/>
        <w:jc w:val="both"/>
      </w:pPr>
      <w:r>
        <w:rPr>
          <w:shd w:val="clear" w:color="FFFFFF" w:themeColor="background1" w:fill="FFFFFF" w:themeFill="background1"/>
        </w:rPr>
        <w:t>1)</w:t>
      </w:r>
      <w:r>
        <w:rPr>
          <w:highlight w:val="white"/>
          <w:shd w:val="clear" w:color="FFFFFF" w:themeColor="background1" w:fill="FFFFFF" w:themeFill="background1"/>
        </w:rPr>
        <w:t> специалистом структурного подразделения департамента, являющегося разработчиком проекта приказа, имеющим юридическое образование (при наличии в структурно</w:t>
      </w:r>
      <w:r>
        <w:rPr>
          <w:highlight w:val="white"/>
          <w:shd w:val="clear" w:color="FFFFFF" w:themeColor="background1" w:fill="FFFFFF" w:themeFill="background1"/>
        </w:rPr>
        <w:t>м подразделении департамента такого специалиста);</w:t>
      </w:r>
    </w:p>
    <w:p w:rsidR="007A5312" w:rsidRDefault="00062241">
      <w:pPr>
        <w:ind w:firstLine="709"/>
        <w:jc w:val="both"/>
      </w:pPr>
      <w:r>
        <w:t>2) руководителем структурного подразделения департамента, являющегося разработчиком проекта приказа;</w:t>
      </w:r>
    </w:p>
    <w:p w:rsidR="007A5312" w:rsidRDefault="00062241">
      <w:pPr>
        <w:ind w:firstLine="709"/>
        <w:jc w:val="both"/>
      </w:pPr>
      <w:r>
        <w:t>3) руководителями структурных подразделений департамента, к полномочиям которых отнесены вопросы, подлежа</w:t>
      </w:r>
      <w:r>
        <w:t>щие регулированию разрабатываемым приказом, либо в отношении которых в проекте приказа содержатся поручения;</w:t>
      </w:r>
    </w:p>
    <w:p w:rsidR="007A5312" w:rsidRDefault="00062241">
      <w:pPr>
        <w:ind w:firstLine="709"/>
        <w:jc w:val="both"/>
      </w:pPr>
      <w:r>
        <w:t>4) заместителем руководителя департамента, осуществляющим в соответствии с распределением обязанностей между заместителями руководителя департамент</w:t>
      </w:r>
      <w:r>
        <w:t xml:space="preserve">а общее руководство отделом земельных отношений департамента, а в </w:t>
      </w:r>
      <w:r>
        <w:lastRenderedPageBreak/>
        <w:t>его отсутствие начальником отдела земельных отношений департамента, в случае принятия решения о разграничении имущества, находящегося в муниципальной собственности, между муниципальными обра</w:t>
      </w:r>
      <w:r>
        <w:t>зованиями Новосибирской области, предусматривающего передачу земельного участка;</w:t>
      </w:r>
    </w:p>
    <w:p w:rsidR="007A5312" w:rsidRDefault="00062241">
      <w:pPr>
        <w:ind w:firstLine="709"/>
        <w:jc w:val="both"/>
      </w:pPr>
      <w:r>
        <w:t>5) заместителем руководителя департамента, осуществляющим в соответствии с распределением обязанностей между заместителями руководителя департамента общее руководство структур</w:t>
      </w:r>
      <w:r>
        <w:t>ным подразделением департамента, являющимся разработчиком проекта приказа, издаваемого за подписью руководителя департамента;</w:t>
      </w:r>
    </w:p>
    <w:p w:rsidR="007A5312" w:rsidRDefault="00062241">
      <w:pPr>
        <w:ind w:firstLine="709"/>
        <w:jc w:val="both"/>
      </w:pPr>
      <w:r>
        <w:t>6) специалистом юридического отдела департамента при отсутствии в структурном подразделении департамента, являющимся разработчиком</w:t>
      </w:r>
      <w:r>
        <w:t xml:space="preserve"> проекта приказа, </w:t>
      </w:r>
      <w:r>
        <w:rPr>
          <w:highlight w:val="white"/>
        </w:rPr>
        <w:t xml:space="preserve">специалиста, имеющего юридическое образование, </w:t>
      </w:r>
      <w:r>
        <w:t>а также во всех случаях согласования проектов приказов, издаваемых за подписью руководителя департамента;</w:t>
      </w:r>
    </w:p>
    <w:p w:rsidR="007A5312" w:rsidRDefault="00062241">
      <w:pPr>
        <w:ind w:firstLine="709"/>
        <w:jc w:val="both"/>
      </w:pPr>
      <w:r>
        <w:rPr>
          <w:color w:val="000000"/>
        </w:rPr>
        <w:t>7) </w:t>
      </w:r>
      <w:r>
        <w:t>территориальным органом министерства финансов и налоговой политики Новосибирской о</w:t>
      </w:r>
      <w:r>
        <w:t>бласти в</w:t>
      </w:r>
      <w:r>
        <w:rPr>
          <w:color w:val="000000"/>
        </w:rPr>
        <w:t xml:space="preserve"> случае принятия решения </w:t>
      </w:r>
      <w:r>
        <w:t>о передаче</w:t>
      </w:r>
      <w:r>
        <w:rPr>
          <w:color w:val="000000"/>
        </w:rPr>
        <w:t xml:space="preserve"> из государственной собственности Новосибирской области в муниципальную собственность (за исключением проектов приказов о передаче в муниципальную собственность города Новосибирска)</w:t>
      </w:r>
      <w:r>
        <w:t>:</w:t>
      </w:r>
    </w:p>
    <w:p w:rsidR="007A5312" w:rsidRDefault="00062241">
      <w:pPr>
        <w:ind w:firstLine="709"/>
        <w:jc w:val="both"/>
      </w:pPr>
      <w:r>
        <w:t>- недвижимого имущества;</w:t>
      </w:r>
    </w:p>
    <w:p w:rsidR="007A5312" w:rsidRDefault="00062241">
      <w:pPr>
        <w:ind w:firstLine="709"/>
        <w:jc w:val="both"/>
      </w:pPr>
      <w:r>
        <w:t>- автотранспортных средств;</w:t>
      </w:r>
    </w:p>
    <w:p w:rsidR="007A5312" w:rsidRDefault="00062241">
      <w:pPr>
        <w:ind w:firstLine="709"/>
        <w:jc w:val="both"/>
      </w:pPr>
      <w:r>
        <w:t>- региональных автоматизированных систем централизованного оповещения;</w:t>
      </w:r>
    </w:p>
    <w:p w:rsidR="007A5312" w:rsidRDefault="00062241">
      <w:pPr>
        <w:ind w:firstLine="709"/>
        <w:jc w:val="both"/>
      </w:pPr>
      <w:r>
        <w:t>- систем звукового оповещения;</w:t>
      </w:r>
    </w:p>
    <w:p w:rsidR="007A5312" w:rsidRDefault="00062241">
      <w:pPr>
        <w:ind w:firstLine="709"/>
        <w:jc w:val="both"/>
      </w:pPr>
      <w:r>
        <w:t xml:space="preserve">- иного движимого имущества, в случае </w:t>
      </w:r>
      <w:r>
        <w:rPr>
          <w:color w:val="000000"/>
        </w:rPr>
        <w:t>если в связи с принятием приказа предусматривается принятие, изменение, прекращение расх</w:t>
      </w:r>
      <w:r>
        <w:rPr>
          <w:color w:val="000000"/>
        </w:rPr>
        <w:t>одных обязательств Новосибирской области;</w:t>
      </w:r>
    </w:p>
    <w:p w:rsidR="007A5312" w:rsidRDefault="00062241">
      <w:pPr>
        <w:ind w:firstLine="709"/>
        <w:jc w:val="both"/>
      </w:pPr>
      <w:r>
        <w:t xml:space="preserve">8) министром финансов и налоговой политики Новосибирской области </w:t>
      </w:r>
      <w:r>
        <w:rPr>
          <w:color w:val="000000"/>
        </w:rPr>
        <w:t>в случае принятия решения</w:t>
      </w:r>
      <w:r>
        <w:t>:</w:t>
      </w:r>
    </w:p>
    <w:p w:rsidR="007A5312" w:rsidRDefault="00062241">
      <w:pPr>
        <w:ind w:firstLine="709"/>
        <w:jc w:val="both"/>
      </w:pPr>
      <w:r>
        <w:t>а) о передаче</w:t>
      </w:r>
      <w:r>
        <w:rPr>
          <w:color w:val="000000"/>
        </w:rPr>
        <w:t xml:space="preserve"> из государственной собственности Новосибирской области в муниципальную собственность города Новосибирска:</w:t>
      </w:r>
    </w:p>
    <w:p w:rsidR="007A5312" w:rsidRDefault="00062241">
      <w:pPr>
        <w:ind w:firstLine="709"/>
        <w:jc w:val="both"/>
      </w:pPr>
      <w:r>
        <w:t>- </w:t>
      </w:r>
      <w:r>
        <w:t>недвижимого имущества;</w:t>
      </w:r>
    </w:p>
    <w:p w:rsidR="007A5312" w:rsidRDefault="00062241">
      <w:pPr>
        <w:ind w:firstLine="709"/>
        <w:jc w:val="both"/>
      </w:pPr>
      <w:r>
        <w:t>- автотранспортных средств;</w:t>
      </w:r>
    </w:p>
    <w:p w:rsidR="007A5312" w:rsidRDefault="00062241">
      <w:pPr>
        <w:ind w:firstLine="709"/>
        <w:jc w:val="both"/>
      </w:pPr>
      <w:r>
        <w:t>- региональных автоматизированных систем централизованного оповещения;</w:t>
      </w:r>
    </w:p>
    <w:p w:rsidR="007A5312" w:rsidRDefault="00062241">
      <w:pPr>
        <w:ind w:firstLine="709"/>
        <w:jc w:val="both"/>
      </w:pPr>
      <w:r>
        <w:t>- систем звукового оповещения;</w:t>
      </w:r>
    </w:p>
    <w:p w:rsidR="007A5312" w:rsidRDefault="00062241">
      <w:pPr>
        <w:ind w:firstLine="709"/>
        <w:jc w:val="both"/>
      </w:pPr>
      <w:r>
        <w:t xml:space="preserve">- иного движимого имущества, в случае, если </w:t>
      </w:r>
      <w:r>
        <w:rPr>
          <w:color w:val="000000"/>
        </w:rPr>
        <w:t>в связи с принятием приказа предусматривается принятие, изменение, прекращение расходных обязательств Новосибирской области;</w:t>
      </w:r>
    </w:p>
    <w:p w:rsidR="007A5312" w:rsidRDefault="00062241">
      <w:pPr>
        <w:ind w:firstLine="709"/>
        <w:jc w:val="both"/>
      </w:pPr>
      <w:r>
        <w:t>б) о передаче</w:t>
      </w:r>
      <w:r>
        <w:rPr>
          <w:color w:val="000000"/>
        </w:rPr>
        <w:t xml:space="preserve"> движимого и недвижимого </w:t>
      </w:r>
      <w:r>
        <w:t>имущества из муниципальной собственности в государственную собственность Новосибирской област</w:t>
      </w:r>
      <w:r>
        <w:t>и</w:t>
      </w:r>
      <w:r>
        <w:rPr>
          <w:color w:val="000000"/>
        </w:rPr>
        <w:t>.</w:t>
      </w:r>
    </w:p>
    <w:p w:rsidR="007A5312" w:rsidRDefault="00062241">
      <w:pPr>
        <w:ind w:firstLine="709"/>
        <w:jc w:val="both"/>
      </w:pPr>
      <w:r>
        <w:t>Разработчик проекта приказа осуществляет обобщение поступивших замечаний и предложений, вносит соответствующие изменения в проект приказа.</w:t>
      </w:r>
    </w:p>
    <w:p w:rsidR="007A5312" w:rsidRDefault="00062241">
      <w:pPr>
        <w:ind w:firstLine="709"/>
        <w:jc w:val="both"/>
      </w:pPr>
      <w:r>
        <w:lastRenderedPageBreak/>
        <w:t>Устранение разногласий с авторами замечаний и предложений подтверждается при повторном согласовании проекта приказ</w:t>
      </w:r>
      <w:r>
        <w:t>а в окончательном варианте с авторами замечаний и предложений.</w:t>
      </w:r>
    </w:p>
    <w:p w:rsidR="007A5312" w:rsidRDefault="00062241">
      <w:pPr>
        <w:ind w:firstLine="709"/>
        <w:jc w:val="both"/>
      </w:pPr>
      <w:r>
        <w:t xml:space="preserve">Если в процессе согласования в проект приказа вносятся изменения, то проект приказа подлежит повторному согласованию всеми ранее согласовавшими данный проект. </w:t>
      </w:r>
    </w:p>
    <w:p w:rsidR="007A5312" w:rsidRDefault="00062241">
      <w:pPr>
        <w:ind w:firstLine="709"/>
        <w:jc w:val="both"/>
        <w:rPr>
          <w:highlight w:val="white"/>
        </w:rPr>
      </w:pPr>
      <w:r>
        <w:rPr>
          <w:highlight w:val="white"/>
        </w:rPr>
        <w:t>Срок согласования проекта приказа</w:t>
      </w:r>
      <w:r>
        <w:rPr>
          <w:highlight w:val="white"/>
        </w:rPr>
        <w:t xml:space="preserve"> у каждого согласовывающего должностного лица департамента составляет:</w:t>
      </w:r>
    </w:p>
    <w:p w:rsidR="007A5312" w:rsidRDefault="00062241">
      <w:pPr>
        <w:ind w:firstLine="709"/>
        <w:jc w:val="both"/>
        <w:rPr>
          <w:highlight w:val="white"/>
        </w:rPr>
      </w:pPr>
      <w:r>
        <w:rPr>
          <w:highlight w:val="white"/>
        </w:rPr>
        <w:t>приказ объемом до 10 страниц – не более трех рабочих дней;</w:t>
      </w:r>
    </w:p>
    <w:p w:rsidR="007A5312" w:rsidRDefault="00062241">
      <w:pPr>
        <w:ind w:firstLine="709"/>
        <w:jc w:val="both"/>
        <w:rPr>
          <w:highlight w:val="white"/>
        </w:rPr>
      </w:pPr>
      <w:r>
        <w:rPr>
          <w:highlight w:val="white"/>
        </w:rPr>
        <w:t>приказ объемом от 10 до 50 страниц – не более пяти рабочих дней;</w:t>
      </w:r>
    </w:p>
    <w:p w:rsidR="007A5312" w:rsidRDefault="00062241">
      <w:pPr>
        <w:ind w:firstLine="709"/>
        <w:jc w:val="both"/>
        <w:rPr>
          <w:highlight w:val="white"/>
        </w:rPr>
      </w:pPr>
      <w:r>
        <w:rPr>
          <w:highlight w:val="white"/>
        </w:rPr>
        <w:t>приказ объемом более 50 страниц – не более десяти рабочих дне</w:t>
      </w:r>
      <w:r>
        <w:rPr>
          <w:highlight w:val="white"/>
        </w:rPr>
        <w:t>й.</w:t>
      </w:r>
    </w:p>
    <w:p w:rsidR="007A5312" w:rsidRDefault="00062241">
      <w:pPr>
        <w:ind w:firstLine="709"/>
        <w:jc w:val="both"/>
      </w:pPr>
      <w:r>
        <w:rPr>
          <w:highlight w:val="white"/>
        </w:rPr>
        <w:t xml:space="preserve">Исключение составляют </w:t>
      </w:r>
      <w:r>
        <w:t xml:space="preserve">проекты с пометкой «Крайне срочно», срок согласования которых составляет не более </w:t>
      </w:r>
      <w:r>
        <w:t>трех</w:t>
      </w:r>
      <w:r>
        <w:t xml:space="preserve"> рабочих часов. </w:t>
      </w:r>
    </w:p>
    <w:p w:rsidR="007A5312" w:rsidRDefault="00062241">
      <w:pPr>
        <w:ind w:firstLine="709"/>
        <w:jc w:val="both"/>
      </w:pPr>
      <w:r>
        <w:t>При согласовании проекта приказа на бумажном носителе указывается дата согласования.</w:t>
      </w:r>
    </w:p>
    <w:p w:rsidR="007A5312" w:rsidRDefault="00062241">
      <w:pPr>
        <w:ind w:firstLine="709"/>
        <w:jc w:val="both"/>
      </w:pPr>
      <w:r>
        <w:t>Для осуществления процедуры согласования пр</w:t>
      </w:r>
      <w:r>
        <w:t>оекта приказа руководитель департамента при необходимости может созывать совещания с участием представителей заинтересованных структурных подразделений департамента и (или) органов. Проект приказа и материалы к нему направляются участникам совещания не поз</w:t>
      </w:r>
      <w:r>
        <w:t>днее чем за три дня до его проведения.</w:t>
      </w:r>
    </w:p>
    <w:p w:rsidR="007A5312" w:rsidRDefault="00062241">
      <w:pPr>
        <w:ind w:firstLine="709"/>
        <w:jc w:val="both"/>
      </w:pPr>
      <w:r>
        <w:t>При наличии замечаний или экспертного заключения по результатам правовой, антикоррупционной и юридико-технической экспертиз проект приказа подлежит доработке разработчиком проекта приказа в течение 10 дней со дня полу</w:t>
      </w:r>
      <w:r>
        <w:t>чения замечаний или экспертного заключения. По решению руководителя департамента срок доработки проекта приказа может быть продлен, но не должен превышать 20 дней со дня получения замечаний или экспертного заключения, требующих доработки проекта приказа.</w:t>
      </w:r>
    </w:p>
    <w:p w:rsidR="007A5312" w:rsidRDefault="00062241">
      <w:pPr>
        <w:ind w:firstLine="709"/>
        <w:jc w:val="both"/>
      </w:pPr>
      <w:r>
        <w:t>П</w:t>
      </w:r>
      <w:r>
        <w:t>ри наличии замечаний или экспертного заключения по результатам правовой, антикоррупционной и юридико-технической экспертиз проект приказа с пометкой «Крайне срочно» подлежит доработке в течение трех рабочих часов с момента получения замечаний или экспертно</w:t>
      </w:r>
      <w:r>
        <w:t>го заключения, требующих доработки проекта приказа.</w:t>
      </w:r>
    </w:p>
    <w:p w:rsidR="007A5312" w:rsidRDefault="00062241">
      <w:pPr>
        <w:ind w:firstLine="709"/>
        <w:jc w:val="both"/>
      </w:pPr>
      <w:r>
        <w:t>После устранения замечани</w:t>
      </w:r>
      <w:bookmarkStart w:id="0" w:name="_GoBack"/>
      <w:bookmarkEnd w:id="0"/>
      <w:r>
        <w:t>й проект приказа, являющ</w:t>
      </w:r>
      <w:r w:rsidR="00702354" w:rsidRPr="00BD6C91">
        <w:t>ийся</w:t>
      </w:r>
      <w:r>
        <w:t xml:space="preserve"> нормативным правовым актом, направляется разработчиком в юридический отдел департамента для повторного проведения правовой, антикоррупционной и юриди</w:t>
      </w:r>
      <w:r>
        <w:t>ко-технической экспертиз.</w:t>
      </w:r>
    </w:p>
    <w:p w:rsidR="007A5312" w:rsidRDefault="00062241">
      <w:pPr>
        <w:ind w:firstLine="709"/>
        <w:jc w:val="both"/>
      </w:pPr>
      <w:r>
        <w:t>В случае принятия разработчиком проекта приказа решения о прекращении разработки проекта приказа процесс согласования завершается с указанием о принятом решении.».</w:t>
      </w:r>
    </w:p>
    <w:p w:rsidR="007A5312" w:rsidRDefault="00062241">
      <w:pPr>
        <w:ind w:firstLine="709"/>
        <w:jc w:val="both"/>
      </w:pPr>
      <w:r>
        <w:t>2. </w:t>
      </w:r>
      <w:r>
        <w:rPr>
          <w:shd w:val="clear" w:color="auto" w:fill="FFFFFF"/>
        </w:rPr>
        <w:t>Дополнить пунктом 66.1 следующего содержания:</w:t>
      </w:r>
    </w:p>
    <w:p w:rsidR="007A5312" w:rsidRDefault="00062241">
      <w:pPr>
        <w:ind w:firstLine="709"/>
        <w:jc w:val="both"/>
      </w:pPr>
      <w:r>
        <w:rPr>
          <w:shd w:val="clear" w:color="auto" w:fill="FFFFFF"/>
        </w:rPr>
        <w:t>«66.1. В соответс</w:t>
      </w:r>
      <w:r>
        <w:rPr>
          <w:shd w:val="clear" w:color="auto" w:fill="FFFFFF"/>
        </w:rPr>
        <w:t xml:space="preserve">твии с </w:t>
      </w:r>
      <w:r w:rsidRPr="00BD6C91">
        <w:rPr>
          <w:shd w:val="clear" w:color="auto" w:fill="FFFFFF"/>
        </w:rPr>
        <w:t>подпунктами </w:t>
      </w:r>
      <w:r w:rsidR="00702354" w:rsidRPr="00BD6C91">
        <w:rPr>
          <w:shd w:val="clear" w:color="auto" w:fill="FFFFFF"/>
        </w:rPr>
        <w:t>7</w:t>
      </w:r>
      <w:r w:rsidRPr="00BD6C91">
        <w:rPr>
          <w:shd w:val="clear" w:color="auto" w:fill="FFFFFF"/>
        </w:rPr>
        <w:t xml:space="preserve"> и </w:t>
      </w:r>
      <w:r w:rsidR="00702354" w:rsidRPr="00BD6C91">
        <w:rPr>
          <w:shd w:val="clear" w:color="auto" w:fill="FFFFFF"/>
        </w:rPr>
        <w:t>8</w:t>
      </w:r>
      <w:r>
        <w:rPr>
          <w:shd w:val="clear" w:color="auto" w:fill="FFFFFF"/>
        </w:rPr>
        <w:t xml:space="preserve"> пункта 66 внешнее согласование проекта приказа </w:t>
      </w:r>
      <w:r>
        <w:t xml:space="preserve">территориальным органом министерства финансов и налоговой политики Новосибирской области, министром финансов и налоговой политики </w:t>
      </w:r>
      <w:r>
        <w:lastRenderedPageBreak/>
        <w:t>Новосибирской области</w:t>
      </w:r>
      <w:r>
        <w:rPr>
          <w:color w:val="000000"/>
        </w:rPr>
        <w:t xml:space="preserve"> </w:t>
      </w:r>
      <w:r>
        <w:rPr>
          <w:shd w:val="clear" w:color="auto" w:fill="FFFFFF"/>
        </w:rPr>
        <w:t>осуществляется в СЭДД одновремен</w:t>
      </w:r>
      <w:r>
        <w:rPr>
          <w:shd w:val="clear" w:color="auto" w:fill="FFFFFF"/>
        </w:rPr>
        <w:t>но с внутренним согласованием.</w:t>
      </w:r>
    </w:p>
    <w:p w:rsidR="007A5312" w:rsidRDefault="00062241">
      <w:pPr>
        <w:ind w:firstLine="709"/>
        <w:jc w:val="both"/>
      </w:pPr>
      <w:r>
        <w:rPr>
          <w:color w:val="000000"/>
        </w:rPr>
        <w:t>Обязательным приложением к проекту такого приказа является финансово-экономическое обоснование, подписанное руководителем департамента либо лицом, наделенным соответствующими полномочиями в соответствии с распределением обяза</w:t>
      </w:r>
      <w:r>
        <w:rPr>
          <w:color w:val="000000"/>
        </w:rPr>
        <w:t>нностей между заместителями руководителя департамента.</w:t>
      </w:r>
    </w:p>
    <w:p w:rsidR="007A5312" w:rsidRDefault="00062241">
      <w:pPr>
        <w:ind w:firstLine="709"/>
        <w:jc w:val="both"/>
      </w:pPr>
      <w:r>
        <w:rPr>
          <w:color w:val="000000"/>
        </w:rPr>
        <w:t xml:space="preserve">Подготовка финансово-экономического обоснования обеспечивается разработчиком проекта приказа. </w:t>
      </w:r>
    </w:p>
    <w:p w:rsidR="007A5312" w:rsidRDefault="00062241">
      <w:pPr>
        <w:ind w:firstLine="709"/>
        <w:jc w:val="both"/>
      </w:pPr>
      <w:r>
        <w:rPr>
          <w:color w:val="000000"/>
        </w:rPr>
        <w:t>В случае, если проектом приказа предусматривается передача имущества из государственной собственности Ново</w:t>
      </w:r>
      <w:r>
        <w:rPr>
          <w:color w:val="000000"/>
        </w:rPr>
        <w:t>сибирской области в муниципальную собственность, для подготовки финансово-экономического обоснования разработчик проекта приказа запрашивает следующую информацию, которая подлежит включению в состав приложения к финансово-экономическому обоснованию:</w:t>
      </w:r>
    </w:p>
    <w:p w:rsidR="007A5312" w:rsidRDefault="00062241">
      <w:pPr>
        <w:ind w:firstLine="709"/>
        <w:jc w:val="both"/>
      </w:pPr>
      <w:r>
        <w:t>у обла</w:t>
      </w:r>
      <w:r>
        <w:t>стного исполнительного органа государственной власти Новосибирской области, который является правообладателем вещного права в отношении предлагаемого к передаче имущества, либо является учредителем (главным распорядителем бюджетных средств) государственног</w:t>
      </w:r>
      <w:r>
        <w:t>о учреждения Новосибирской области - правообладателя вещного права в отношении предлагаемого к передаче имущества информацию согласно приложению № 23 к настоящей Инструкции;</w:t>
      </w:r>
    </w:p>
    <w:p w:rsidR="007A5312" w:rsidRDefault="00062241">
      <w:pPr>
        <w:ind w:firstLine="709"/>
        <w:jc w:val="both"/>
      </w:pPr>
      <w:r>
        <w:t xml:space="preserve">у </w:t>
      </w:r>
      <w:r>
        <w:rPr>
          <w:shd w:val="clear" w:color="auto" w:fill="FFFFFF"/>
        </w:rPr>
        <w:t xml:space="preserve">органа местного самоуправления, в муниципальную собственность </w:t>
      </w:r>
      <w:r>
        <w:rPr>
          <w:rStyle w:val="searchresult"/>
        </w:rPr>
        <w:t>которого</w:t>
      </w:r>
      <w:r>
        <w:t> и</w:t>
      </w:r>
      <w:r>
        <w:rPr>
          <w:shd w:val="clear" w:color="auto" w:fill="FFFFFF"/>
        </w:rPr>
        <w:t>мущество</w:t>
      </w:r>
      <w:r>
        <w:rPr>
          <w:shd w:val="clear" w:color="auto" w:fill="FFFFFF"/>
        </w:rPr>
        <w:t xml:space="preserve"> подлежит передаче, </w:t>
      </w:r>
      <w:r>
        <w:t>информацию согласно приложению № 24 к настоящей Инструкции.</w:t>
      </w:r>
    </w:p>
    <w:p w:rsidR="007A5312" w:rsidRDefault="00062241">
      <w:pPr>
        <w:ind w:firstLine="709"/>
        <w:jc w:val="both"/>
      </w:pPr>
      <w:r>
        <w:rPr>
          <w:color w:val="000000"/>
        </w:rPr>
        <w:t xml:space="preserve">В случае, если проектом приказа предусматривается передача имущества </w:t>
      </w:r>
      <w:r>
        <w:t xml:space="preserve">из муниципальной собственности в государственную собственность Новосибирской области </w:t>
      </w:r>
      <w:r>
        <w:rPr>
          <w:color w:val="000000"/>
        </w:rPr>
        <w:t>для подготовки финансо</w:t>
      </w:r>
      <w:r>
        <w:rPr>
          <w:color w:val="000000"/>
        </w:rPr>
        <w:t>во-экономического обоснования разработчик проекта приказа запрашивает у областного исполнительного органа государственной власти Новосибирской области, который будет являться правообладателем вещного права в отношении предлагаемого к передаче имущества, ли</w:t>
      </w:r>
      <w:r>
        <w:rPr>
          <w:color w:val="000000"/>
        </w:rPr>
        <w:t xml:space="preserve">бо является учредителем (главным распорядителем бюджетных средств) государственного учреждения Новосибирской области, которое будет являться правообладателем вещного права в отношении предлагаемого к передаче имущества, информацию согласно приложению № 25 </w:t>
      </w:r>
      <w:r>
        <w:t>к настоящей</w:t>
      </w:r>
      <w:r>
        <w:rPr>
          <w:color w:val="000000"/>
        </w:rPr>
        <w:t xml:space="preserve"> Инструкции. Полученная информация подлежит включению в состав приложения к финансово-экономическому обоснованию.</w:t>
      </w:r>
    </w:p>
    <w:p w:rsidR="007A5312" w:rsidRDefault="00062241">
      <w:pPr>
        <w:ind w:firstLine="709"/>
        <w:jc w:val="both"/>
        <w:rPr>
          <w:color w:val="000000"/>
        </w:rPr>
      </w:pPr>
      <w:r>
        <w:rPr>
          <w:shd w:val="clear" w:color="auto" w:fill="FFFFFF"/>
        </w:rPr>
        <w:t xml:space="preserve">Срок согласования проекта приказа территориальным органом министерства </w:t>
      </w:r>
      <w:r>
        <w:t>финансов и налоговой политики Новосибирской области или мини</w:t>
      </w:r>
      <w:r>
        <w:t>стром финансов и налоговой политики Новосибирской области составляет семь рабочих дней со дня, следующего за днем поступления проекта приказа в территориальный орган министерства финансов и налоговой политики Новосибирской области или в министерство финанс</w:t>
      </w:r>
      <w:r>
        <w:t>ов и налоговой политики Новосибирской области.</w:t>
      </w:r>
      <w:r>
        <w:rPr>
          <w:shd w:val="clear" w:color="auto" w:fill="FFFFFF"/>
        </w:rPr>
        <w:t>».</w:t>
      </w:r>
    </w:p>
    <w:p w:rsidR="007A5312" w:rsidRDefault="00062241">
      <w:pPr>
        <w:ind w:firstLine="709"/>
        <w:jc w:val="both"/>
        <w:rPr>
          <w:shd w:val="clear" w:color="auto" w:fill="FFFFFF"/>
        </w:rPr>
      </w:pPr>
      <w:r>
        <w:rPr>
          <w:shd w:val="clear" w:color="auto" w:fill="FFFFFF"/>
        </w:rPr>
        <w:t xml:space="preserve">3. Дополнить приложениями № 23-25 согласно </w:t>
      </w:r>
      <w:proofErr w:type="gramStart"/>
      <w:r>
        <w:rPr>
          <w:shd w:val="clear" w:color="auto" w:fill="FFFFFF"/>
        </w:rPr>
        <w:t>приложению</w:t>
      </w:r>
      <w:proofErr w:type="gramEnd"/>
      <w:r>
        <w:rPr>
          <w:shd w:val="clear" w:color="auto" w:fill="FFFFFF"/>
        </w:rPr>
        <w:t xml:space="preserve"> к настоящему приказу.</w:t>
      </w:r>
    </w:p>
    <w:p w:rsidR="007A5312" w:rsidRDefault="007A5312">
      <w:pPr>
        <w:jc w:val="both"/>
      </w:pPr>
    </w:p>
    <w:p w:rsidR="007A5312" w:rsidRDefault="007A5312">
      <w:pPr>
        <w:jc w:val="both"/>
      </w:pPr>
    </w:p>
    <w:p w:rsidR="007A5312" w:rsidRDefault="00062241">
      <w:pPr>
        <w:jc w:val="both"/>
      </w:pPr>
      <w:r>
        <w:t>Руководитель департамента                                                          Р.Г. Шилохвостов</w:t>
      </w: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7A5312">
      <w:pPr>
        <w:jc w:val="both"/>
        <w:rPr>
          <w:sz w:val="20"/>
          <w:szCs w:val="20"/>
        </w:rPr>
      </w:pPr>
    </w:p>
    <w:p w:rsidR="007A5312" w:rsidRDefault="00062241">
      <w:pPr>
        <w:jc w:val="both"/>
        <w:rPr>
          <w:sz w:val="20"/>
          <w:szCs w:val="20"/>
        </w:rPr>
      </w:pPr>
      <w:r>
        <w:rPr>
          <w:sz w:val="20"/>
          <w:szCs w:val="20"/>
        </w:rPr>
        <w:t>Душкина А.А.</w:t>
      </w:r>
    </w:p>
    <w:p w:rsidR="007A5312" w:rsidRDefault="00062241">
      <w:pPr>
        <w:jc w:val="both"/>
        <w:rPr>
          <w:sz w:val="20"/>
          <w:szCs w:val="20"/>
        </w:rPr>
      </w:pPr>
      <w:r>
        <w:rPr>
          <w:sz w:val="20"/>
          <w:szCs w:val="20"/>
        </w:rPr>
        <w:t>238-60-39</w:t>
      </w:r>
    </w:p>
    <w:p w:rsidR="007A5312" w:rsidRDefault="007A5312">
      <w:pPr>
        <w:jc w:val="both"/>
        <w:rPr>
          <w:sz w:val="20"/>
          <w:szCs w:val="20"/>
        </w:rPr>
      </w:pPr>
    </w:p>
    <w:p w:rsidR="007A5312" w:rsidRDefault="00062241">
      <w:pPr>
        <w:spacing w:line="230" w:lineRule="auto"/>
        <w:jc w:val="both"/>
        <w:rPr>
          <w:sz w:val="20"/>
          <w:szCs w:val="20"/>
        </w:rPr>
      </w:pPr>
      <w:r>
        <w:rPr>
          <w:sz w:val="20"/>
          <w:szCs w:val="20"/>
        </w:rPr>
        <w:t>Мартыненко И.В.</w:t>
      </w:r>
    </w:p>
    <w:p w:rsidR="007A5312" w:rsidRDefault="00062241">
      <w:pPr>
        <w:spacing w:line="235" w:lineRule="auto"/>
        <w:jc w:val="both"/>
        <w:rPr>
          <w:sz w:val="20"/>
          <w:szCs w:val="20"/>
        </w:rPr>
      </w:pPr>
      <w:r>
        <w:rPr>
          <w:sz w:val="20"/>
          <w:szCs w:val="20"/>
        </w:rPr>
        <w:t>8(383)238 60 20</w:t>
      </w:r>
    </w:p>
    <w:sectPr w:rsidR="007A5312">
      <w:headerReference w:type="even" r:id="rId8"/>
      <w:headerReference w:type="default" r:id="rId9"/>
      <w:headerReference w:type="first" r:id="rId10"/>
      <w:pgSz w:w="11906" w:h="16838"/>
      <w:pgMar w:top="1134" w:right="567" w:bottom="1134" w:left="1417" w:header="709"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241" w:rsidRDefault="00062241">
      <w:r>
        <w:separator/>
      </w:r>
    </w:p>
  </w:endnote>
  <w:endnote w:type="continuationSeparator" w:id="0">
    <w:p w:rsidR="00062241" w:rsidRDefault="0006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auto"/>
    <w:pitch w:val="default"/>
  </w:font>
  <w:font w:name="Mangal">
    <w:altName w:val="Courier New"/>
    <w:panose1 w:val="00000400000000000000"/>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241" w:rsidRDefault="00062241">
      <w:r>
        <w:separator/>
      </w:r>
    </w:p>
  </w:footnote>
  <w:footnote w:type="continuationSeparator" w:id="0">
    <w:p w:rsidR="00062241" w:rsidRDefault="00062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312" w:rsidRDefault="00062241">
    <w:pPr>
      <w:pStyle w:val="af8"/>
      <w:jc w:val="center"/>
    </w:pPr>
    <w:r>
      <w:fldChar w:fldCharType="begin"/>
    </w:r>
    <w:r>
      <w:instrText>PAGE</w:instrText>
    </w:r>
    <w:r>
      <w:fldChar w:fldCharType="separate"/>
    </w:r>
    <w:r w:rsidR="00BD6C91">
      <w:rPr>
        <w:noProof/>
      </w:rPr>
      <w:t>4</w:t>
    </w:r>
    <w:r>
      <w:fldChar w:fldCharType="end"/>
    </w:r>
  </w:p>
  <w:p w:rsidR="007A5312" w:rsidRDefault="007A5312">
    <w:pPr>
      <w:pStyle w:val="af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312" w:rsidRDefault="00062241">
    <w:pPr>
      <w:pStyle w:val="af8"/>
      <w:jc w:val="center"/>
    </w:pPr>
    <w:r>
      <w:fldChar w:fldCharType="begin"/>
    </w:r>
    <w:r>
      <w:instrText>PAGE</w:instrText>
    </w:r>
    <w:r>
      <w:fldChar w:fldCharType="separate"/>
    </w:r>
    <w:r w:rsidR="00BD6C91">
      <w:rPr>
        <w:noProof/>
      </w:rPr>
      <w:t>5</w:t>
    </w:r>
    <w:r>
      <w:fldChar w:fldCharType="end"/>
    </w:r>
  </w:p>
  <w:p w:rsidR="007A5312" w:rsidRDefault="007A5312">
    <w:pPr>
      <w:pStyle w:val="af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312" w:rsidRDefault="00062241">
    <w:pPr>
      <w:pStyle w:val="af8"/>
      <w:jc w:val="center"/>
      <w:rPr>
        <w:lang w:val="en-US"/>
      </w:rPr>
    </w:pPr>
    <w:r>
      <w:rPr>
        <w:noProof/>
      </w:rPr>
      <mc:AlternateContent>
        <mc:Choice Requires="wpg">
          <w:drawing>
            <wp:inline distT="0" distB="0" distL="0" distR="0">
              <wp:extent cx="554355" cy="647700"/>
              <wp:effectExtent l="0" t="0" r="0" b="0"/>
              <wp:docPr id="1" name="Рисунок 10" descr="C:\Users\imi\Downloads\1111111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0" descr="C:\Users\imi\Downloads\111111111111111.jpg"/>
                      <pic:cNvPicPr>
                        <a:picLocks noChangeAspect="1"/>
                      </pic:cNvPicPr>
                    </pic:nvPicPr>
                    <pic:blipFill>
                      <a:blip r:embed="rId1"/>
                      <a:stretch/>
                    </pic:blipFill>
                    <pic:spPr bwMode="auto">
                      <a:xfrm>
                        <a:off x="0" y="0"/>
                        <a:ext cx="554355" cy="64770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3.6pt;height:51.0pt;mso-wrap-distance-left:0.0pt;mso-wrap-distance-top:0.0pt;mso-wrap-distance-right:0.0pt;mso-wrap-distance-bottom:0.0pt;" stroked="false">
              <v:path textboxrect="0,0,0,0"/>
              <v:imagedata r:id="rId2" o:title=""/>
            </v:shape>
          </w:pict>
        </mc:Fallback>
      </mc:AlternateContent>
    </w:r>
  </w:p>
  <w:p w:rsidR="007A5312" w:rsidRDefault="007A5312">
    <w:pPr>
      <w:pStyle w:val="afc"/>
    </w:pPr>
  </w:p>
  <w:p w:rsidR="007A5312" w:rsidRDefault="00062241">
    <w:pPr>
      <w:pStyle w:val="afc"/>
      <w:rPr>
        <w:b/>
      </w:rPr>
    </w:pPr>
    <w:r>
      <w:rPr>
        <w:b/>
      </w:rPr>
      <w:t xml:space="preserve">ДЕПАРТАМЕНТ ИМУЩЕСТВА </w:t>
    </w:r>
  </w:p>
  <w:p w:rsidR="007A5312" w:rsidRDefault="00062241">
    <w:pPr>
      <w:pStyle w:val="afc"/>
      <w:rPr>
        <w:b/>
      </w:rPr>
    </w:pPr>
    <w:r>
      <w:rPr>
        <w:b/>
      </w:rPr>
      <w:t>И ЗЕМЕЛЬНЫХ ОТНОШЕНИЙ НОВОСИБИРСКОЙ ОБЛАСТИ</w:t>
    </w:r>
  </w:p>
  <w:p w:rsidR="007A5312" w:rsidRDefault="007A5312">
    <w:pPr>
      <w:pStyle w:val="afc"/>
    </w:pPr>
  </w:p>
  <w:p w:rsidR="007A5312" w:rsidRDefault="00062241">
    <w:pPr>
      <w:pStyle w:val="afc"/>
      <w:rPr>
        <w:b/>
        <w:sz w:val="36"/>
        <w:szCs w:val="36"/>
      </w:rPr>
    </w:pPr>
    <w:r>
      <w:rPr>
        <w:b/>
        <w:sz w:val="36"/>
        <w:szCs w:val="36"/>
      </w:rPr>
      <w:t>ПРИКАЗ</w:t>
    </w:r>
  </w:p>
  <w:p w:rsidR="007A5312" w:rsidRDefault="00062241">
    <w:pPr>
      <w:pStyle w:val="afc"/>
    </w:pPr>
    <w:r>
      <w:rPr>
        <w:noProof/>
      </w:rPr>
      <mc:AlternateContent>
        <mc:Choice Requires="wpg">
          <w:drawing>
            <wp:anchor distT="0" distB="0" distL="0" distR="0" simplePos="0" relativeHeight="3" behindDoc="1" locked="0" layoutInCell="0" allowOverlap="1">
              <wp:simplePos x="0" y="0"/>
              <wp:positionH relativeFrom="column">
                <wp:posOffset>34925</wp:posOffset>
              </wp:positionH>
              <wp:positionV relativeFrom="paragraph">
                <wp:posOffset>179070</wp:posOffset>
              </wp:positionV>
              <wp:extent cx="1296035" cy="233045"/>
              <wp:effectExtent l="0" t="0" r="0" b="0"/>
              <wp:wrapNone/>
              <wp:docPr id="2" name="Text Box 3"/>
              <wp:cNvGraphicFramePr/>
              <a:graphic xmlns:a="http://schemas.openxmlformats.org/drawingml/2006/main">
                <a:graphicData uri="http://schemas.microsoft.com/office/word/2010/wordprocessingShape">
                  <wps:wsp>
                    <wps:cNvSpPr/>
                    <wps:spPr bwMode="auto">
                      <a:xfrm>
                        <a:off x="0" y="0"/>
                        <a:ext cx="1295280" cy="232560"/>
                      </a:xfrm>
                      <a:prstGeom prst="rect">
                        <a:avLst/>
                      </a:prstGeom>
                      <a:noFill/>
                      <a:ln w="0">
                        <a:noFill/>
                      </a:ln>
                    </wps:spPr>
                    <wps:style>
                      <a:lnRef idx="0">
                        <a:srgbClr val="000000"/>
                      </a:lnRef>
                      <a:fillRef idx="0">
                        <a:srgbClr val="000000"/>
                      </a:fillRef>
                      <a:effectRef idx="0">
                        <a:srgbClr val="000000"/>
                      </a:effectRef>
                      <a:fontRef idx="minor"/>
                    </wps:style>
                    <wps:txbx>
                      <w:txbxContent>
                        <w:p w:rsidR="007A5312" w:rsidRDefault="007A5312">
                          <w:pPr>
                            <w:pStyle w:val="afc"/>
                          </w:pPr>
                          <w:bookmarkStart w:id="1" w:name="docout_date"/>
                          <w:bookmarkEnd w:id="1"/>
                        </w:p>
                        <w:p w:rsidR="007A5312" w:rsidRDefault="007A5312">
                          <w:pPr>
                            <w:pStyle w:val="afc"/>
                          </w:pPr>
                        </w:p>
                      </w:txbxContent>
                    </wps:txbx>
                    <wps:bodyPr lIns="17640" tIns="10800" rIns="17640" bIns="10800" anchor="t" upright="1">
                      <a:noAutofit/>
                    </wps:bodyPr>
                  </wps:wsp>
                </a:graphicData>
              </a:graphic>
            </wp:anchor>
          </w:drawing>
        </mc:Choice>
        <mc:Fallback xmlns:a="http://schemas.openxmlformats.org/drawingml/2006/main">
          <w:pict>
            <v:shape id="shape 1" o:spid="_x0000_s1" o:spt="1" type="#_x0000_t1" style="position:absolute;z-index:-3;o:allowoverlap:true;o:allowincell:false;mso-position-horizontal-relative:text;margin-left:2.8pt;mso-position-horizontal:absolute;mso-position-vertical-relative:text;margin-top:14.1pt;mso-position-vertical:absolute;width:102.0pt;height:18.3pt;mso-wrap-distance-left:0.0pt;mso-wrap-distance-top:0.0pt;mso-wrap-distance-right:0.0pt;mso-wrap-distance-bottom:0.0pt;v-text-anchor:top;visibility:visible;" filled="f" stroked="f" strokeweight="0.00pt">
              <v:textbox inset="0,0,0,0">
                <w:txbxContent>
                  <w:p>
                    <w:pPr>
                      <w:pStyle w:val="985"/>
                    </w:pPr>
                    <w:r/>
                    <w:bookmarkStart w:id="1" w:name="docout_date"/>
                    <w:r/>
                    <w:bookmarkEnd w:id="1"/>
                    <w:r/>
                    <w:r/>
                  </w:p>
                  <w:p>
                    <w:pPr>
                      <w:pStyle w:val="985"/>
                    </w:pPr>
                    <w:r/>
                    <w:r/>
                  </w:p>
                </w:txbxContent>
              </v:textbox>
            </v:shape>
          </w:pict>
        </mc:Fallback>
      </mc:AlternateContent>
    </w:r>
  </w:p>
  <w:p w:rsidR="007A5312" w:rsidRDefault="00062241">
    <w:pPr>
      <w:pStyle w:val="afc"/>
      <w:tabs>
        <w:tab w:val="right" w:pos="9922"/>
      </w:tabs>
      <w:jc w:val="left"/>
      <w:rPr>
        <w:sz w:val="24"/>
        <w:szCs w:val="24"/>
      </w:rPr>
    </w:pPr>
    <w:r>
      <w:rPr>
        <w:noProof/>
      </w:rPr>
      <mc:AlternateContent>
        <mc:Choice Requires="wpg">
          <w:drawing>
            <wp:anchor distT="0" distB="0" distL="0" distR="0" simplePos="0" relativeHeight="5" behindDoc="1" locked="0" layoutInCell="0" allowOverlap="1">
              <wp:simplePos x="0" y="0"/>
              <wp:positionH relativeFrom="column">
                <wp:posOffset>5100320</wp:posOffset>
              </wp:positionH>
              <wp:positionV relativeFrom="paragraph">
                <wp:posOffset>1270</wp:posOffset>
              </wp:positionV>
              <wp:extent cx="977900" cy="228600"/>
              <wp:effectExtent l="0" t="0" r="0" b="635"/>
              <wp:wrapNone/>
              <wp:docPr id="3" name="Text Box 4"/>
              <wp:cNvGraphicFramePr/>
              <a:graphic xmlns:a="http://schemas.openxmlformats.org/drawingml/2006/main">
                <a:graphicData uri="http://schemas.microsoft.com/office/word/2010/wordprocessingShape">
                  <wps:wsp>
                    <wps:cNvSpPr/>
                    <wps:spPr bwMode="auto">
                      <a:xfrm>
                        <a:off x="0" y="0"/>
                        <a:ext cx="977400" cy="227880"/>
                      </a:xfrm>
                      <a:prstGeom prst="rect">
                        <a:avLst/>
                      </a:prstGeom>
                      <a:noFill/>
                      <a:ln w="0">
                        <a:noFill/>
                      </a:ln>
                    </wps:spPr>
                    <wps:style>
                      <a:lnRef idx="0">
                        <a:srgbClr val="000000"/>
                      </a:lnRef>
                      <a:fillRef idx="0">
                        <a:srgbClr val="000000"/>
                      </a:fillRef>
                      <a:effectRef idx="0">
                        <a:srgbClr val="000000"/>
                      </a:effectRef>
                      <a:fontRef idx="minor"/>
                    </wps:style>
                    <wps:txbx>
                      <w:txbxContent>
                        <w:p w:rsidR="007A5312" w:rsidRDefault="007A5312">
                          <w:pPr>
                            <w:pStyle w:val="afc"/>
                          </w:pPr>
                          <w:bookmarkStart w:id="2" w:name="docout_numb"/>
                          <w:bookmarkEnd w:id="2"/>
                        </w:p>
                      </w:txbxContent>
                    </wps:txbx>
                    <wps:bodyPr lIns="17640" tIns="10800" rIns="17640" bIns="10800" anchor="t" upright="1">
                      <a:noAutofit/>
                    </wps:bodyPr>
                  </wps:wsp>
                </a:graphicData>
              </a:graphic>
            </wp:anchor>
          </w:drawing>
        </mc:Choice>
        <mc:Fallback xmlns:a="http://schemas.openxmlformats.org/drawingml/2006/main">
          <w:pict>
            <v:shape id="shape 2" o:spid="_x0000_s2" o:spt="1" type="#_x0000_t1" style="position:absolute;z-index:-5;o:allowoverlap:true;o:allowincell:false;mso-position-horizontal-relative:text;margin-left:401.6pt;mso-position-horizontal:absolute;mso-position-vertical-relative:text;margin-top:0.1pt;mso-position-vertical:absolute;width:77.0pt;height:18.0pt;mso-wrap-distance-left:0.0pt;mso-wrap-distance-top:0.0pt;mso-wrap-distance-right:0.0pt;mso-wrap-distance-bottom:0.0pt;v-text-anchor:top;visibility:visible;" filled="f" stroked="f" strokeweight="0.00pt">
              <v:textbox inset="0,0,0,0">
                <w:txbxContent>
                  <w:p>
                    <w:pPr>
                      <w:pStyle w:val="985"/>
                    </w:pPr>
                    <w:r/>
                    <w:bookmarkStart w:id="2" w:name="docout_numb"/>
                    <w:r/>
                    <w:bookmarkEnd w:id="2"/>
                    <w:r/>
                    <w:r/>
                  </w:p>
                </w:txbxContent>
              </v:textbox>
            </v:shape>
          </w:pict>
        </mc:Fallback>
      </mc:AlternateContent>
    </w:r>
    <w:r>
      <w:rPr>
        <w:sz w:val="24"/>
        <w:szCs w:val="24"/>
      </w:rPr>
      <w:t>_______________                                  г. Новосибирск                                            № _________</w:t>
    </w:r>
  </w:p>
  <w:p w:rsidR="007A5312" w:rsidRDefault="007A5312">
    <w:pPr>
      <w:pStyle w:val="afc"/>
      <w:tabs>
        <w:tab w:val="right" w:pos="9922"/>
      </w:tabs>
      <w:jc w:val="left"/>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312"/>
    <w:rsid w:val="00062241"/>
    <w:rsid w:val="00702354"/>
    <w:rsid w:val="007A5312"/>
    <w:rsid w:val="00BD6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704B5"/>
  <w15:docId w15:val="{8D204243-12D1-40CA-A23D-35E284F9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Mang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uiPriority w:val="9"/>
    <w:qFormat/>
    <w:pPr>
      <w:keepNext/>
      <w:keepLines/>
      <w:spacing w:before="480" w:after="200"/>
      <w:outlineLvl w:val="0"/>
    </w:pPr>
    <w:rPr>
      <w:rFonts w:ascii="Arial" w:eastAsia="Arial" w:hAnsi="Arial" w:cs="Arial"/>
      <w:sz w:val="40"/>
      <w:szCs w:val="40"/>
    </w:rPr>
  </w:style>
  <w:style w:type="paragraph" w:styleId="2">
    <w:name w:val="heading 2"/>
    <w:basedOn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rPr>
      <w:vertAlign w:val="superscript"/>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FootnoteCharacters">
    <w:name w:val="Footnote Characters"/>
    <w:uiPriority w:val="99"/>
    <w:unhideWhenUsed/>
    <w:qFormat/>
    <w:rPr>
      <w:vertAlign w:val="superscript"/>
    </w:rPr>
  </w:style>
  <w:style w:type="character" w:customStyle="1" w:styleId="FootnoteAnchor">
    <w:name w:val="Footnote Anchor"/>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uiPriority w:val="99"/>
    <w:semiHidden/>
    <w:unhideWhenUsed/>
    <w:qFormat/>
    <w:rPr>
      <w:vertAlign w:val="superscript"/>
    </w:rPr>
  </w:style>
  <w:style w:type="character" w:customStyle="1" w:styleId="EndnoteAnchor">
    <w:name w:val="Endnote Anchor"/>
    <w:rPr>
      <w:vertAlign w:val="superscript"/>
    </w:rPr>
  </w:style>
  <w:style w:type="character" w:customStyle="1" w:styleId="a6">
    <w:name w:val="Основной шрифт"/>
    <w:qFormat/>
  </w:style>
  <w:style w:type="character" w:customStyle="1" w:styleId="a7">
    <w:name w:val="номер страницы"/>
    <w:basedOn w:val="a6"/>
    <w:qFormat/>
  </w:style>
  <w:style w:type="character" w:styleId="a8">
    <w:name w:val="Hyperlink"/>
    <w:rPr>
      <w:color w:val="0000FF"/>
      <w:u w:val="single"/>
    </w:rPr>
  </w:style>
  <w:style w:type="character" w:styleId="a9">
    <w:name w:val="FollowedHyperlink"/>
    <w:rPr>
      <w:color w:val="800080"/>
      <w:u w:val="single"/>
    </w:rPr>
  </w:style>
  <w:style w:type="character" w:customStyle="1" w:styleId="aa">
    <w:name w:val="Верхний колонтитул Знак"/>
    <w:uiPriority w:val="99"/>
    <w:qFormat/>
    <w:rPr>
      <w:sz w:val="28"/>
      <w:szCs w:val="28"/>
    </w:rPr>
  </w:style>
  <w:style w:type="character" w:customStyle="1" w:styleId="ab">
    <w:name w:val="Текст выноски Знак"/>
    <w:qFormat/>
    <w:rPr>
      <w:rFonts w:ascii="Tahoma" w:hAnsi="Tahoma" w:cs="Tahoma"/>
      <w:sz w:val="16"/>
      <w:szCs w:val="16"/>
    </w:rPr>
  </w:style>
  <w:style w:type="character" w:customStyle="1" w:styleId="searchresult">
    <w:name w:val="search_result"/>
    <w:qFormat/>
  </w:style>
  <w:style w:type="paragraph" w:customStyle="1" w:styleId="Heading">
    <w:name w:val="Heading"/>
    <w:basedOn w:val="a"/>
    <w:next w:val="ac"/>
    <w:qFormat/>
    <w:pPr>
      <w:keepNext/>
      <w:spacing w:before="240" w:after="120"/>
    </w:pPr>
    <w:rPr>
      <w:rFonts w:ascii="Liberation Sans" w:eastAsia="Microsoft YaHei" w:hAnsi="Liberation Sans"/>
    </w:rPr>
  </w:style>
  <w:style w:type="paragraph" w:styleId="ac">
    <w:name w:val="Body Text"/>
    <w:basedOn w:val="a"/>
    <w:pPr>
      <w:jc w:val="both"/>
    </w:pPr>
    <w:rPr>
      <w:sz w:val="24"/>
      <w:szCs w:val="24"/>
    </w:rPr>
  </w:style>
  <w:style w:type="paragraph" w:styleId="ad">
    <w:name w:val="List"/>
    <w:basedOn w:val="ac"/>
  </w:style>
  <w:style w:type="paragraph" w:styleId="ae">
    <w:name w:val="caption"/>
    <w:basedOn w:val="a"/>
    <w:uiPriority w:val="35"/>
    <w:semiHidden/>
    <w:unhideWhenUsed/>
    <w:qFormat/>
    <w:pPr>
      <w:spacing w:line="276" w:lineRule="auto"/>
    </w:pPr>
    <w:rPr>
      <w:b/>
      <w:bCs/>
      <w:color w:val="4F81BD" w:themeColor="accent1"/>
      <w:sz w:val="18"/>
      <w:szCs w:val="18"/>
    </w:rPr>
  </w:style>
  <w:style w:type="paragraph" w:customStyle="1" w:styleId="Index">
    <w:name w:val="Index"/>
    <w:basedOn w:val="a"/>
    <w:qFormat/>
    <w:pPr>
      <w:suppressLineNumbers/>
    </w:pPr>
  </w:style>
  <w:style w:type="paragraph" w:styleId="af">
    <w:name w:val="No Spacing"/>
    <w:uiPriority w:val="1"/>
    <w:qFormat/>
  </w:style>
  <w:style w:type="paragraph" w:styleId="af0">
    <w:name w:val="Title"/>
    <w:basedOn w:val="a"/>
    <w:uiPriority w:val="10"/>
    <w:qFormat/>
    <w:pPr>
      <w:spacing w:before="300" w:after="200"/>
      <w:contextualSpacing/>
    </w:pPr>
    <w:rPr>
      <w:sz w:val="48"/>
      <w:szCs w:val="48"/>
    </w:rPr>
  </w:style>
  <w:style w:type="paragraph" w:styleId="af1">
    <w:name w:val="Subtitle"/>
    <w:basedOn w:val="a"/>
    <w:uiPriority w:val="11"/>
    <w:qFormat/>
    <w:pPr>
      <w:spacing w:before="200" w:after="200"/>
    </w:pPr>
    <w:rPr>
      <w:sz w:val="24"/>
      <w:szCs w:val="24"/>
    </w:rPr>
  </w:style>
  <w:style w:type="paragraph" w:styleId="21">
    <w:name w:val="Quote"/>
    <w:basedOn w:val="a"/>
    <w:uiPriority w:val="29"/>
    <w:qFormat/>
    <w:pPr>
      <w:ind w:left="720" w:right="720"/>
    </w:pPr>
    <w:rPr>
      <w:i/>
    </w:rPr>
  </w:style>
  <w:style w:type="paragraph" w:styleId="af2">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3">
    <w:name w:val="footnote text"/>
    <w:basedOn w:val="a"/>
    <w:uiPriority w:val="99"/>
    <w:semiHidden/>
    <w:unhideWhenUsed/>
    <w:pPr>
      <w:spacing w:after="40"/>
    </w:pPr>
    <w:rPr>
      <w:sz w:val="18"/>
    </w:rPr>
  </w:style>
  <w:style w:type="paragraph" w:styleId="af4">
    <w:name w:val="endnote text"/>
    <w:basedOn w:val="a"/>
    <w:uiPriority w:val="99"/>
    <w:semiHidden/>
    <w:unhideWhenUsed/>
    <w:rPr>
      <w:sz w:val="20"/>
    </w:rPr>
  </w:style>
  <w:style w:type="paragraph" w:styleId="11">
    <w:name w:val="toc 1"/>
    <w:basedOn w:val="a"/>
    <w:uiPriority w:val="39"/>
    <w:unhideWhenUsed/>
    <w:pPr>
      <w:spacing w:after="57"/>
    </w:pPr>
  </w:style>
  <w:style w:type="paragraph" w:styleId="22">
    <w:name w:val="toc 2"/>
    <w:basedOn w:val="a"/>
    <w:uiPriority w:val="39"/>
    <w:unhideWhenUsed/>
    <w:pPr>
      <w:spacing w:after="57"/>
      <w:ind w:left="283"/>
    </w:pPr>
  </w:style>
  <w:style w:type="paragraph" w:styleId="31">
    <w:name w:val="toc 3"/>
    <w:basedOn w:val="a"/>
    <w:uiPriority w:val="39"/>
    <w:unhideWhenUsed/>
    <w:pPr>
      <w:spacing w:after="57"/>
      <w:ind w:left="567"/>
    </w:pPr>
  </w:style>
  <w:style w:type="paragraph" w:styleId="41">
    <w:name w:val="toc 4"/>
    <w:basedOn w:val="a"/>
    <w:uiPriority w:val="39"/>
    <w:unhideWhenUsed/>
    <w:pPr>
      <w:spacing w:after="57"/>
      <w:ind w:left="850"/>
    </w:pPr>
  </w:style>
  <w:style w:type="paragraph" w:styleId="51">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5">
    <w:name w:val="index heading"/>
    <w:basedOn w:val="Heading"/>
  </w:style>
  <w:style w:type="paragraph" w:styleId="af6">
    <w:name w:val="TOC Heading"/>
    <w:uiPriority w:val="39"/>
    <w:unhideWhenUsed/>
  </w:style>
  <w:style w:type="paragraph" w:styleId="af7">
    <w:name w:val="table of figures"/>
    <w:basedOn w:val="a"/>
    <w:uiPriority w:val="99"/>
    <w:unhideWhenUsed/>
    <w:qFormat/>
  </w:style>
  <w:style w:type="paragraph" w:customStyle="1" w:styleId="42">
    <w:name w:val="заголовок 4"/>
    <w:basedOn w:val="a"/>
    <w:qFormat/>
    <w:pPr>
      <w:keepNext/>
      <w:jc w:val="center"/>
    </w:pPr>
    <w:rPr>
      <w:b/>
      <w:bCs/>
    </w:rPr>
  </w:style>
  <w:style w:type="paragraph" w:customStyle="1" w:styleId="52">
    <w:name w:val="заголовок 5"/>
    <w:basedOn w:val="a"/>
    <w:qFormat/>
    <w:pPr>
      <w:keepNext/>
      <w:jc w:val="center"/>
    </w:pPr>
    <w:rPr>
      <w:sz w:val="24"/>
      <w:szCs w:val="24"/>
    </w:rPr>
  </w:style>
  <w:style w:type="paragraph" w:customStyle="1" w:styleId="61">
    <w:name w:val="заголовок 6"/>
    <w:basedOn w:val="a"/>
    <w:qFormat/>
    <w:pPr>
      <w:keepNext/>
      <w:jc w:val="center"/>
    </w:pPr>
  </w:style>
  <w:style w:type="paragraph" w:customStyle="1" w:styleId="HeaderandFooter">
    <w:name w:val="Header and Footer"/>
    <w:basedOn w:val="a"/>
    <w:qFormat/>
  </w:style>
  <w:style w:type="paragraph" w:styleId="af8">
    <w:name w:val="header"/>
    <w:basedOn w:val="a"/>
    <w:uiPriority w:val="99"/>
    <w:pPr>
      <w:tabs>
        <w:tab w:val="center" w:pos="4153"/>
        <w:tab w:val="right" w:pos="8306"/>
      </w:tabs>
    </w:pPr>
  </w:style>
  <w:style w:type="paragraph" w:customStyle="1" w:styleId="af9">
    <w:name w:val="Письмо главы"/>
    <w:basedOn w:val="a"/>
    <w:qFormat/>
    <w:pPr>
      <w:ind w:firstLine="709"/>
      <w:jc w:val="both"/>
    </w:pPr>
  </w:style>
  <w:style w:type="paragraph" w:styleId="afa">
    <w:name w:val="footer"/>
    <w:basedOn w:val="a"/>
    <w:pPr>
      <w:tabs>
        <w:tab w:val="center" w:pos="4153"/>
        <w:tab w:val="right" w:pos="8306"/>
      </w:tabs>
    </w:pPr>
  </w:style>
  <w:style w:type="paragraph" w:styleId="afb">
    <w:name w:val="Body Text Indent"/>
    <w:basedOn w:val="a"/>
    <w:pPr>
      <w:jc w:val="center"/>
    </w:pPr>
    <w:rPr>
      <w:b/>
      <w:bCs/>
      <w:sz w:val="26"/>
      <w:szCs w:val="26"/>
    </w:rPr>
  </w:style>
  <w:style w:type="paragraph" w:styleId="23">
    <w:name w:val="Body Text Indent 2"/>
    <w:basedOn w:val="a"/>
    <w:qFormat/>
    <w:pPr>
      <w:ind w:left="360"/>
      <w:jc w:val="both"/>
    </w:pPr>
  </w:style>
  <w:style w:type="paragraph" w:styleId="32">
    <w:name w:val="Body Text 3"/>
    <w:basedOn w:val="a"/>
    <w:qFormat/>
    <w:pPr>
      <w:jc w:val="center"/>
    </w:pPr>
    <w:rPr>
      <w:b/>
      <w:bCs/>
    </w:rPr>
  </w:style>
  <w:style w:type="paragraph" w:styleId="33">
    <w:name w:val="Body Text Indent 3"/>
    <w:basedOn w:val="a"/>
    <w:qFormat/>
    <w:pPr>
      <w:ind w:left="-142" w:firstLine="851"/>
      <w:jc w:val="both"/>
    </w:pPr>
  </w:style>
  <w:style w:type="paragraph" w:customStyle="1" w:styleId="afc">
    <w:name w:val="Титул"/>
    <w:qFormat/>
    <w:pPr>
      <w:jc w:val="center"/>
    </w:pPr>
    <w:rPr>
      <w:sz w:val="28"/>
      <w:szCs w:val="28"/>
    </w:rPr>
  </w:style>
  <w:style w:type="paragraph" w:styleId="afd">
    <w:name w:val="Balloon Text"/>
    <w:basedOn w:val="a"/>
    <w:qFormat/>
    <w:rPr>
      <w:rFonts w:ascii="Tahoma" w:hAnsi="Tahoma" w:cs="Tahoma"/>
      <w:sz w:val="16"/>
      <w:szCs w:val="16"/>
    </w:rPr>
  </w:style>
  <w:style w:type="paragraph" w:styleId="afe">
    <w:name w:val="List Paragraph"/>
    <w:basedOn w:val="a"/>
    <w:uiPriority w:val="34"/>
    <w:qFormat/>
    <w:pPr>
      <w:ind w:left="720"/>
      <w:contextualSpacing/>
    </w:pPr>
  </w:style>
  <w:style w:type="paragraph" w:customStyle="1" w:styleId="FrameContents">
    <w:name w:val="Fram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772379CE6E34CD20E7CF47D28568401590A493759A2D67AF9A50E4A4710CEF7F0A197689EA5CF8D07F221B3E2D1056C630D89FCDBB1E0D7DD19DC5AAr8MC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ED84F9C-48CE-4BD6-9657-E613515B5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1526</Words>
  <Characters>8704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Адресат</vt:lpstr>
    </vt:vector>
  </TitlesOfParts>
  <Company>АНО</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Адресат</dc:title>
  <dc:subject/>
  <dc:creator>Исаев Максим Игоревич</dc:creator>
  <dc:description/>
  <cp:lastModifiedBy>Душкина Анна Анатольевна</cp:lastModifiedBy>
  <cp:revision>3</cp:revision>
  <dcterms:created xsi:type="dcterms:W3CDTF">2023-08-16T02:37:00Z</dcterms:created>
  <dcterms:modified xsi:type="dcterms:W3CDTF">2023-08-16T04:14:00Z</dcterms:modified>
  <dc:language>ru-RU</dc:language>
</cp:coreProperties>
</file>