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6"/>
        <w:ind w:left="567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</w:t>
      </w:r>
      <w:r>
        <w:rPr>
          <w:rFonts w:ascii="Times New Roman" w:hAnsi="Times New Roman"/>
          <w:sz w:val="28"/>
          <w:szCs w:val="28"/>
        </w:rPr>
      </w:r>
    </w:p>
    <w:p>
      <w:pPr>
        <w:pStyle w:val="686"/>
        <w:ind w:left="567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постановления Правительства</w:t>
      </w:r>
      <w:r>
        <w:rPr>
          <w:rFonts w:ascii="Times New Roman" w:hAnsi="Times New Roman"/>
          <w:sz w:val="28"/>
          <w:szCs w:val="28"/>
        </w:rPr>
      </w:r>
    </w:p>
    <w:p>
      <w:pPr>
        <w:pStyle w:val="686"/>
        <w:ind w:left="567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</w:rPr>
      </w:r>
    </w:p>
    <w:p>
      <w:pPr>
        <w:pStyle w:val="686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6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6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6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6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6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6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6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6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6"/>
        <w:jc w:val="center"/>
        <w:spacing w:after="0" w:line="240" w:lineRule="auto"/>
        <w:tabs>
          <w:tab w:val="left" w:pos="708" w:leader="none"/>
          <w:tab w:val="center" w:pos="1134" w:leader="none"/>
          <w:tab w:val="right" w:pos="9355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 внесении изменений в </w:t>
      </w:r>
      <w:r>
        <w:rPr>
          <w:rFonts w:ascii="Times New Roman" w:hAnsi="Times New Roman"/>
          <w:sz w:val="28"/>
          <w:szCs w:val="28"/>
        </w:rPr>
        <w:t xml:space="preserve">постановление Правительства Новосибирской области </w:t>
      </w:r>
      <w:r>
        <w:rPr>
          <w:rFonts w:ascii="Times New Roman" w:hAnsi="Times New Roman"/>
          <w:sz w:val="28"/>
          <w:szCs w:val="28"/>
        </w:rPr>
        <w:br w:type="textWrapping" w:clear="all"/>
      </w:r>
      <w:r>
        <w:rPr>
          <w:rFonts w:ascii="Times New Roman" w:hAnsi="Times New Roman"/>
          <w:sz w:val="28"/>
          <w:szCs w:val="28"/>
        </w:rPr>
        <w:t xml:space="preserve">от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21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10</w:t>
      </w:r>
      <w:r>
        <w:rPr>
          <w:rFonts w:ascii="Times New Roman" w:hAnsi="Times New Roman"/>
          <w:sz w:val="28"/>
          <w:szCs w:val="28"/>
        </w:rPr>
        <w:t xml:space="preserve">.20</w:t>
      </w:r>
      <w:r>
        <w:rPr>
          <w:rFonts w:ascii="Times New Roman" w:hAnsi="Times New Roman"/>
          <w:sz w:val="28"/>
          <w:szCs w:val="28"/>
        </w:rPr>
        <w:t xml:space="preserve">13</w:t>
      </w:r>
      <w:r>
        <w:rPr>
          <w:rFonts w:ascii="Times New Roman" w:hAnsi="Times New Roman"/>
          <w:sz w:val="28"/>
          <w:szCs w:val="28"/>
        </w:rPr>
        <w:t xml:space="preserve"> № </w:t>
      </w:r>
      <w:r>
        <w:rPr>
          <w:rFonts w:ascii="Times New Roman" w:hAnsi="Times New Roman"/>
          <w:sz w:val="28"/>
          <w:szCs w:val="28"/>
        </w:rPr>
        <w:t xml:space="preserve">456</w:t>
      </w:r>
      <w:r>
        <w:rPr>
          <w:rFonts w:ascii="Times New Roman" w:hAnsi="Times New Roman"/>
          <w:sz w:val="28"/>
          <w:szCs w:val="28"/>
        </w:rPr>
        <w:t xml:space="preserve">-п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86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686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r>
        <w:rPr>
          <w:rFonts w:ascii="Times New Roman" w:hAnsi="Times New Roman"/>
          <w:sz w:val="28"/>
          <w:szCs w:val="28"/>
        </w:rPr>
        <w:t xml:space="preserve">законом от 12.12.2023 № 565-ФЗ «О занятости населения в Российской Федерации» </w:t>
      </w:r>
      <w:r>
        <w:rPr>
          <w:rFonts w:ascii="Times New Roman" w:hAnsi="Times New Roman"/>
          <w:sz w:val="28"/>
          <w:szCs w:val="28"/>
        </w:rPr>
        <w:t xml:space="preserve">Правительство Новосибирской области </w:t>
      </w:r>
      <w:r>
        <w:rPr>
          <w:rFonts w:ascii="Times New Roman" w:hAnsi="Times New Roman"/>
          <w:b/>
          <w:sz w:val="28"/>
          <w:szCs w:val="28"/>
        </w:rPr>
        <w:t xml:space="preserve">п о с т а н о в л я е т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</w:r>
      <w:r/>
      <w:r>
        <w:rPr>
          <w:rFonts w:ascii="Times New Roman" w:hAnsi="Times New Roman"/>
          <w:sz w:val="28"/>
          <w:szCs w:val="28"/>
        </w:rPr>
      </w:r>
    </w:p>
    <w:p>
      <w:pPr>
        <w:pStyle w:val="70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Правительства Новосибирской области от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21.10.2013 № 456-п</w:t>
      </w:r>
      <w:r>
        <w:rPr>
          <w:rFonts w:ascii="Times New Roman" w:hAnsi="Times New Roman" w:cs="Times New Roman"/>
          <w:sz w:val="28"/>
          <w:szCs w:val="28"/>
        </w:rPr>
        <w:t xml:space="preserve"> «О </w:t>
      </w:r>
      <w:r>
        <w:rPr>
          <w:rFonts w:ascii="Times New Roman" w:hAnsi="Times New Roman" w:cs="Times New Roman"/>
          <w:sz w:val="28"/>
          <w:szCs w:val="28"/>
        </w:rPr>
        <w:t xml:space="preserve">квотировании рабочих мест для трудоустройства инвалидов в Новосибирской области» </w:t>
      </w:r>
      <w:r>
        <w:rPr>
          <w:rFonts w:ascii="Times New Roman" w:hAnsi="Times New Roman" w:cs="Times New Roman"/>
          <w:sz w:val="28"/>
          <w:szCs w:val="28"/>
        </w:rPr>
        <w:t xml:space="preserve">следующие изменения: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 В преамбуле слова «В соответствии с Законом Российской Федерации от 19.04.1991 № 1032-1 «О занятости населения в Российской Федерации» заменить на слова «В соответствии с Федеральным законом  </w:t>
      </w:r>
      <w:r>
        <w:rPr>
          <w:rFonts w:ascii="Times New Roman" w:hAnsi="Times New Roman"/>
          <w:sz w:val="28"/>
          <w:szCs w:val="28"/>
        </w:rPr>
        <w:t xml:space="preserve">от 12.12.2023 № 565-ФЗ «О занятости населения в Российской Федерации».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6"/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2</w:t>
      </w:r>
      <w:r>
        <w:rPr>
          <w:rFonts w:ascii="Times New Roman" w:hAnsi="Times New Roman" w:eastAsia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/>
          <w:sz w:val="28"/>
          <w:szCs w:val="28"/>
        </w:rPr>
        <w:t xml:space="preserve"> Порядке квотирования рабочих мест для трудоустройства инвалидов в Новосибирской области: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686"/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</w:rPr>
        <w:t xml:space="preserve">1</w:t>
      </w:r>
      <w:r>
        <w:rPr>
          <w:rFonts w:ascii="Times New Roman" w:hAnsi="Times New Roman" w:eastAsia="Times New Roman"/>
          <w:sz w:val="28"/>
          <w:szCs w:val="28"/>
        </w:rPr>
        <w:t xml:space="preserve">) в пункте 1 с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лова «В соответствии с Законом Российской Федерации от 19.04.1991 № 1032-1 «О занятости населения в Российской Федерации» заменить на слова «В соответствии с Федеральным законом </w:t>
      </w:r>
      <w:r>
        <w:rPr>
          <w:rFonts w:ascii="Times New Roman" w:hAnsi="Times New Roman"/>
          <w:sz w:val="28"/>
          <w:szCs w:val="28"/>
        </w:rPr>
        <w:t xml:space="preserve">от 12.12.2023 № 565-ФЗ «О занятости населения в Российской Федерации»</w:t>
      </w:r>
      <w:r/>
      <w:r>
        <w:rPr>
          <w:rFonts w:ascii="Times New Roman" w:hAnsi="Times New Roman" w:eastAsia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2) </w:t>
      </w:r>
      <w:r>
        <w:rPr>
          <w:rFonts w:ascii="Times New Roman" w:hAnsi="Times New Roman" w:eastAsia="Times New Roman"/>
          <w:sz w:val="28"/>
          <w:szCs w:val="28"/>
        </w:rPr>
        <w:t xml:space="preserve">пункт 6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изложить в следующей редакции: </w:t>
      </w:r>
      <w:r/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«6. Работодатели </w:t>
      </w:r>
      <w:r>
        <w:rPr>
          <w:rFonts w:ascii="Times New Roman" w:hAnsi="Times New Roman" w:eastAsia="Times New Roman"/>
          <w:sz w:val="28"/>
          <w:szCs w:val="28"/>
        </w:rPr>
        <w:t xml:space="preserve">рассчит</w:t>
      </w:r>
      <w:r>
        <w:rPr>
          <w:rFonts w:ascii="Times New Roman" w:hAnsi="Times New Roman" w:eastAsia="Times New Roman"/>
          <w:sz w:val="28"/>
          <w:szCs w:val="28"/>
        </w:rPr>
        <w:t xml:space="preserve">ыв</w:t>
      </w:r>
      <w:r>
        <w:rPr>
          <w:rFonts w:ascii="Times New Roman" w:hAnsi="Times New Roman" w:eastAsia="Times New Roman"/>
          <w:sz w:val="28"/>
          <w:szCs w:val="28"/>
        </w:rPr>
        <w:t xml:space="preserve">ают квоту для приема на работу инвалидов </w:t>
      </w:r>
      <w:r>
        <w:rPr>
          <w:rFonts w:ascii="Times New Roman" w:hAnsi="Times New Roman" w:eastAsia="Times New Roman"/>
          <w:sz w:val="28"/>
          <w:szCs w:val="28"/>
        </w:rPr>
        <w:t xml:space="preserve">в соответствии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 с пунктами 3-5, 9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статьи 38 Федерального закона </w:t>
      </w:r>
      <w:r>
        <w:rPr>
          <w:rFonts w:ascii="Times New Roman" w:hAnsi="Times New Roman"/>
          <w:sz w:val="28"/>
          <w:szCs w:val="28"/>
        </w:rPr>
        <w:t xml:space="preserve">от 12.12.2023 № 565-ФЗ «О занятости населения в Российской Федерации», а именно: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численность работников для целей исчисления квоты для приема на работу инвалидов определяется исходя из среднесписочной численности работников за предыдущий квартал без учета работников представительств и филиалов работодателя, расположенных в других суб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ъектах Российской Федерации;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представительствам и филиалам работодателя устанавливается квота для приема на работу инвалидов в соответствии с законодательством субъектов Российской Федерации, на территориях которых они расположены, исходя из среднесписочной численности работников та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ких представительств и филиалов работодателя за предыдущий квартал;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при исчислении квоты для приема на работу инвалидов в среднесписочную численность работников не включаются работники, условия труда на рабочих местах которых отнесены к вредным и (или) опасным условиям труда по результатам специальной оценки условий труд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Работодатели освобождаются от выполнения установленной квоты для приема на работу инвалидов: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случае, если работодатели являются общественными объединениями инвалидов;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иных случаях, установленных Правительством Российской Федерации.».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3) пункт 7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«7. Работодатели, которым установлена квота для трудоустройства инвалидов, в соответствии с пунктами 1-2, 7, 9 статьи 53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Федерального закона </w:t>
      </w:r>
      <w:r>
        <w:rPr>
          <w:rFonts w:ascii="Times New Roman" w:hAnsi="Times New Roman"/>
          <w:sz w:val="28"/>
          <w:szCs w:val="28"/>
        </w:rPr>
        <w:t xml:space="preserve">от 12.12.2023 № 565-ФЗ «О занятости населения в Российской Федерации»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ежемесячно не позднее 10-го числа месяца, следующего за отчетным информируют государственную службу занятости о выполнении квоты для приема на работу инвалидов.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Информирование осуществляется посредством размещения информации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на единой цифровой платформе в сфере занятости и трудовых отношений «Работа в России» (далее – единая цифровая платформа) или на иных информационных ресурсах, на которых может размещаться такая информа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ция в соответствии с порядком, утвержденным Правительством Российской Федерации.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Информация, предоставляется работодателями в государственную службу занятости по формам, утвержденным федеральным органом исполнительной власти, осуществляющим функции по выработке и реализации государственной п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олитики и нормативно-правовому регулированию в сфере занятости населения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.».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</w:rPr>
        <w:t xml:space="preserve">4) пункт 10 изложить в следующей редакции: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«10</w:t>
      </w:r>
      <w:r>
        <w:rPr>
          <w:rFonts w:ascii="Times New Roman" w:hAnsi="Times New Roman"/>
          <w:sz w:val="28"/>
          <w:szCs w:val="28"/>
          <w:highlight w:val="none"/>
        </w:rPr>
        <w:t xml:space="preserve">. В соответствии с пунктом 11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статьи 53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Федерального закона </w:t>
      </w:r>
      <w:r>
        <w:rPr>
          <w:rFonts w:ascii="Times New Roman" w:hAnsi="Times New Roman"/>
          <w:sz w:val="28"/>
          <w:szCs w:val="28"/>
        </w:rPr>
        <w:t xml:space="preserve">от 12.12.2023 № 565-ФЗ «О занятости населения в Российской Федерации»</w:t>
      </w:r>
      <w:r/>
      <w:r>
        <w:rPr>
          <w:rFonts w:ascii="Times New Roman" w:hAnsi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/>
          <w:sz w:val="28"/>
          <w:szCs w:val="28"/>
          <w:highlight w:val="none"/>
        </w:rPr>
        <w:t xml:space="preserve">работодатель в пятидневный срок со дня получения уведомления органа службы занятости о направлении к нему гражданина для проведения переговоров о трудоустройстве размещает на единой цифровой платформе информацию о дне и результатах проведенных с граждан</w:t>
      </w:r>
      <w:r>
        <w:rPr>
          <w:rFonts w:ascii="Times New Roman" w:hAnsi="Times New Roman"/>
          <w:sz w:val="28"/>
          <w:szCs w:val="28"/>
          <w:highlight w:val="none"/>
        </w:rPr>
        <w:t xml:space="preserve">ином переговоров, а в случае отказа в приеме на работу гражданина – также информацию о причине отказа. Работодатель, не зарегистрированный на единой цифровой платформе, указывает в направлении органа службы занятости информацию о дне и результатах проведенн</w:t>
      </w:r>
      <w:r>
        <w:rPr>
          <w:rFonts w:ascii="Times New Roman" w:hAnsi="Times New Roman"/>
          <w:sz w:val="28"/>
          <w:szCs w:val="28"/>
          <w:highlight w:val="none"/>
        </w:rPr>
        <w:t xml:space="preserve">ых с гражданином переговоров, а в случае отказа в приеме на работу гражданина – также информацию о причине отказа и возвращает направление гражданину.».</w:t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5) пункт 11 изложить в следующей редакции:</w:t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«11. В соответствии с пунктами 6-7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статьи 53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Федерального закона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 12.12.2023 № 565-ФЗ «О занятости населения в Российской Федерации»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квота для приема на работу инвалидов считается выполненной работодателем в случае: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заключения трудового договора с инвалидом на рабочее место непосредственно у работодателя;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20"/>
        <w:jc w:val="both"/>
        <w:spacing w:after="0" w:afterAutospacing="0" w:line="240" w:lineRule="auto"/>
        <w:rPr>
          <w:rFonts w:ascii="Times New Roman" w:hAnsi="Times New Roman" w:cs="Times New Roman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заключения трудового договора между инвалидом и иной организацией в соответствии с соглашением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 трудоустройстве инвалидов, заключаемым между работодателем, которому установлена квота для приема на работу инвалидов, и иной организацией (далее – соглашение о трудоустройстве инвалидов);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20"/>
        <w:jc w:val="both"/>
        <w:spacing w:after="0" w:afterAutospacing="0" w:line="240" w:lineRule="auto"/>
        <w:rPr>
          <w:rFonts w:ascii="Times New Roman" w:hAnsi="Times New Roman" w:cs="Times New Roman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иных случаях, установленных Правительством Российской Федерации.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20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Трудоустройство инвалидов в соответствии с соглашением о трудоустройстве инвалидов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должно осуществляться на территории субъекта Российской Федерации по месту нахождения работодателя (его представительс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тва, филиала).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20"/>
        <w:jc w:val="both"/>
        <w:spacing w:after="0" w:afterAutospacing="0" w:line="240" w:lineRule="auto"/>
        <w:rPr>
          <w:rFonts w:ascii="Times New Roman" w:hAnsi="Times New Roman" w:cs="Times New Roman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Порядок заключения соглашения о трудоустройстве инвалидов и его форма утверждаются Правительством Российской Федерации. В соглашении о трудоустройстве инвалидов определяются в том числе: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20"/>
        <w:jc w:val="both"/>
        <w:spacing w:after="0" w:afterAutospacing="0" w:line="240" w:lineRule="auto"/>
        <w:rPr>
          <w:rFonts w:ascii="Times New Roman" w:hAnsi="Times New Roman" w:cs="Times New Roman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численность инвалидов, которые могут быть приняты на работу в иную организацию в счет квоты для приема на работу инвалидов, установленной работодателю;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20"/>
        <w:jc w:val="both"/>
        <w:spacing w:after="0" w:afterAutospacing="0" w:line="240" w:lineRule="auto"/>
        <w:rPr>
          <w:rFonts w:ascii="Times New Roman" w:hAnsi="Times New Roman" w:cs="Times New Roman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условия финансирования работодателем расходов на оплату труда инвалидов, принятых на работу в иную организацию в счет квоты для приема на работу инвалидов, установленной работодателю. Размер такого финансирования в месяц не может быть меньше минимального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размера оплаты труда и начисляемых за трудоустроенного инвалида страховых взносов в соответствии с федеральными законами о конкретных видах обязательного социального страхования;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20"/>
        <w:jc w:val="both"/>
        <w:spacing w:after="0" w:afterAutospacing="0" w:line="240" w:lineRule="auto"/>
        <w:rPr>
          <w:rFonts w:ascii="Times New Roman" w:hAnsi="Times New Roman" w:cs="Times New Roman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условия оборудования рабочих мест инвалидов, принятых на работу в иную организацию в счет квоты для приема на работу инвалидов, установленной работодателю, и (или) условия компенсации работодателем иной организации расходов на оборудование таких рабочих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мест.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pStyle w:val="68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Губернатор Новосибирской области</w:t>
        <w:tab/>
        <w:tab/>
      </w:r>
      <w:r>
        <w:rPr>
          <w:rFonts w:ascii="Times New Roman" w:hAnsi="Times New Roman"/>
          <w:sz w:val="28"/>
          <w:szCs w:val="28"/>
        </w:rPr>
        <w:t xml:space="preserve"> </w:t>
        <w:tab/>
        <w:tab/>
        <w:tab/>
        <w:t xml:space="preserve">   </w:t>
      </w:r>
      <w:r>
        <w:rPr>
          <w:rFonts w:ascii="Times New Roman" w:hAnsi="Times New Roman"/>
          <w:sz w:val="28"/>
          <w:szCs w:val="28"/>
        </w:rPr>
        <w:t xml:space="preserve">А.А. Травников</w:t>
      </w:r>
      <w:r>
        <w:rPr>
          <w:rFonts w:ascii="Times New Roman" w:hAnsi="Times New Roman"/>
          <w:sz w:val="28"/>
          <w:szCs w:val="28"/>
        </w:rPr>
      </w:r>
    </w:p>
    <w:p>
      <w:pPr>
        <w:pStyle w:val="686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6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6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686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686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686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686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686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686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686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pStyle w:val="686"/>
        <w:spacing w:after="0" w:line="240" w:lineRule="auto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</w:rPr>
        <w:t xml:space="preserve">Е.В. Бахарева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pStyle w:val="69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238 75 10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686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Cs w:val="28"/>
        </w:rPr>
        <w:br w:type="page" w:clear="all"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СОГЛАСОВАНО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86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86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tbl>
      <w:tblPr>
        <w:tblW w:w="9606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062"/>
        <w:gridCol w:w="3544"/>
      </w:tblGrid>
      <w:tr>
        <w:tblPrEx/>
        <w:trPr>
          <w:trHeight w:val="90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vAlign w:val="top"/>
            <w:textDirection w:val="lrTb"/>
            <w:noWrap w:val="false"/>
          </w:tcPr>
          <w:p>
            <w:pPr>
              <w:pStyle w:val="686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заместитель Губернатора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86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86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86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86"/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86"/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Ю.Ф. Петухов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86"/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1022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vAlign w:val="top"/>
            <w:textDirection w:val="lrTb"/>
            <w:noWrap w:val="false"/>
          </w:tcPr>
          <w:p>
            <w:pPr>
              <w:pStyle w:val="686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Губернатора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86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86"/>
              <w:jc w:val="both"/>
              <w:spacing w:after="0" w:line="240" w:lineRule="auto"/>
              <w:tabs>
                <w:tab w:val="left" w:pos="114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86"/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86"/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С.А. Нелюбов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86"/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86"/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139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vAlign w:val="top"/>
            <w:textDirection w:val="lrTb"/>
            <w:noWrap w:val="false"/>
          </w:tcPr>
          <w:p>
            <w:pPr>
              <w:pStyle w:val="686"/>
              <w:ind w:right="1514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инистр юстиции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86"/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86"/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Т.Н. Деркач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86"/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86"/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139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vAlign w:val="top"/>
            <w:textDirection w:val="lrTb"/>
            <w:noWrap w:val="false"/>
          </w:tcPr>
          <w:p>
            <w:pPr>
              <w:pStyle w:val="686"/>
              <w:ind w:right="1514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Министр экономического развития Новосибирской области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86"/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86"/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Л.Н. Решетников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86"/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110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vAlign w:val="top"/>
            <w:textDirection w:val="lrTb"/>
            <w:noWrap w:val="false"/>
          </w:tcPr>
          <w:p>
            <w:pPr>
              <w:pStyle w:val="686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Министр труда и социального развития Новосибирской области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686"/>
              <w:jc w:val="right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686"/>
              <w:jc w:val="right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Е.В. Бахарева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686"/>
              <w:jc w:val="right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«___» ________ 2024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г.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686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686"/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pStyle w:val="686"/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686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686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686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686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686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686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686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686"/>
              <w:jc w:val="both"/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4"/>
              </w:rPr>
              <w:t xml:space="preserve">Н</w:t>
            </w:r>
            <w:r>
              <w:rPr>
                <w:rFonts w:ascii="Times New Roman" w:hAnsi="Times New Roman"/>
                <w:szCs w:val="24"/>
              </w:rPr>
              <w:t xml:space="preserve">ачальник</w:t>
            </w:r>
            <w:r>
              <w:rPr>
                <w:rFonts w:ascii="Times New Roman" w:hAnsi="Times New Roman"/>
                <w:szCs w:val="24"/>
              </w:rPr>
              <w:t xml:space="preserve"> правового</w:t>
            </w:r>
            <w:r>
              <w:rPr>
                <w:rFonts w:ascii="Times New Roman" w:hAnsi="Times New Roman"/>
                <w:szCs w:val="24"/>
              </w:rPr>
              <w:t xml:space="preserve"> управления </w:t>
            </w:r>
            <w:r>
              <w:rPr>
                <w:rFonts w:ascii="Times New Roman" w:hAnsi="Times New Roman"/>
                <w:szCs w:val="20"/>
              </w:rPr>
            </w:r>
            <w:r>
              <w:rPr>
                <w:rFonts w:ascii="Times New Roman" w:hAnsi="Times New Roman"/>
                <w:szCs w:val="2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686"/>
              <w:jc w:val="right"/>
              <w:spacing w:after="0" w:line="240" w:lineRule="auto"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</w:rPr>
              <w:t xml:space="preserve">Е.В. Нарубина</w:t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  <w:p>
            <w:pPr>
              <w:pStyle w:val="686"/>
              <w:jc w:val="right"/>
              <w:spacing w:after="0" w:line="240" w:lineRule="auto"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  <w:p>
            <w:pPr>
              <w:pStyle w:val="686"/>
              <w:jc w:val="right"/>
              <w:spacing w:after="0" w:line="240" w:lineRule="auto"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  <w:tr>
        <w:tblPrEx/>
        <w:trPr>
          <w:trHeight w:val="573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686"/>
              <w:spacing w:after="0" w:line="240" w:lineRule="auto"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  <w:p>
            <w:pPr>
              <w:pStyle w:val="686"/>
              <w:spacing w:after="0" w:line="240" w:lineRule="auto"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  <w:t xml:space="preserve">Начальник</w:t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  <w:t xml:space="preserve"> управления занятости населени</w:t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  <w:t xml:space="preserve">я</w:t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686"/>
              <w:jc w:val="right"/>
              <w:spacing w:after="0" w:line="240" w:lineRule="auto"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  <w:p>
            <w:pPr>
              <w:pStyle w:val="686"/>
              <w:jc w:val="right"/>
              <w:spacing w:after="0" w:line="240" w:lineRule="auto"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  <w:t xml:space="preserve">О.И. Лаврова</w:t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  <w:p>
            <w:pPr>
              <w:pStyle w:val="686"/>
              <w:jc w:val="right"/>
              <w:spacing w:after="0" w:line="240" w:lineRule="auto"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  <w:p>
            <w:pPr>
              <w:pStyle w:val="686"/>
              <w:jc w:val="right"/>
              <w:spacing w:after="0" w:line="240" w:lineRule="auto"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</w:tbl>
    <w:p>
      <w:pPr>
        <w:pStyle w:val="686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686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686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686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686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686"/>
      </w:pPr>
      <w:r/>
      <w:r/>
    </w:p>
    <w:p>
      <w:pPr>
        <w:pStyle w:val="686"/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</w:r>
      <w:r>
        <w:rPr>
          <w:rFonts w:ascii="Times New Roman" w:hAnsi="Times New Roman"/>
          <w:sz w:val="18"/>
        </w:rPr>
      </w:r>
    </w:p>
    <w:p>
      <w:pPr>
        <w:pStyle w:val="686"/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</w:r>
      <w:r>
        <w:rPr>
          <w:rFonts w:ascii="Times New Roman" w:hAnsi="Times New Roman"/>
          <w:sz w:val="18"/>
        </w:rPr>
      </w:r>
    </w:p>
    <w:p>
      <w:pPr>
        <w:pStyle w:val="686"/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</w:r>
      <w:r>
        <w:rPr>
          <w:rFonts w:ascii="Times New Roman" w:hAnsi="Times New Roman"/>
          <w:sz w:val="18"/>
        </w:rPr>
      </w:r>
    </w:p>
    <w:p>
      <w:pPr>
        <w:pStyle w:val="686"/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</w:r>
      <w:r>
        <w:rPr>
          <w:rFonts w:ascii="Times New Roman" w:hAnsi="Times New Roman"/>
          <w:sz w:val="18"/>
        </w:rPr>
      </w:r>
    </w:p>
    <w:p>
      <w:pPr>
        <w:pStyle w:val="686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Н.Ю. Медведева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69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238 75 </w:t>
      </w:r>
      <w:r>
        <w:rPr>
          <w:rFonts w:ascii="Times New Roman" w:hAnsi="Times New Roman"/>
          <w:sz w:val="20"/>
          <w:szCs w:val="20"/>
        </w:rPr>
        <w:t xml:space="preserve">88</w:t>
      </w:r>
      <w:r>
        <w:rPr>
          <w:rFonts w:ascii="Times New Roman" w:hAnsi="Times New Roman"/>
          <w:sz w:val="20"/>
          <w:szCs w:val="20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5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3</w:t>
    </w: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</w:p>
  <w:p>
    <w:pPr>
      <w:pStyle w:val="69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5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2</w:t>
    </w: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0" w:firstLine="709"/>
        <w:tabs>
          <w:tab w:val="num" w:pos="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  <w:tabs>
          <w:tab w:val="num" w:pos="2149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  <w:tabs>
          <w:tab w:val="num" w:pos="2869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  <w:tabs>
          <w:tab w:val="num" w:pos="3589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  <w:tabs>
          <w:tab w:val="num" w:pos="4309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  <w:tabs>
          <w:tab w:val="num" w:pos="5029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  <w:tabs>
          <w:tab w:val="num" w:pos="5749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  <w:tabs>
          <w:tab w:val="num" w:pos="6469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  <w:tabs>
          <w:tab w:val="num" w:pos="7189" w:leader="none"/>
        </w:tabs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1"/>
      <w:numFmt w:val="decimal"/>
      <w:isLgl w:val="false"/>
      <w:suff w:val="tab"/>
      <w:lvlText w:val="%1."/>
      <w:lvlJc w:val="left"/>
      <w:pPr>
        <w:ind w:left="375" w:hanging="375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487" w:hanging="360"/>
      </w:pPr>
      <w:rPr>
        <w:rFonts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32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9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6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3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0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8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5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247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688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0" w:firstLine="709"/>
        <w:tabs>
          <w:tab w:val="num" w:pos="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  <w:tabs>
          <w:tab w:val="num" w:pos="2149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  <w:tabs>
          <w:tab w:val="num" w:pos="2869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  <w:tabs>
          <w:tab w:val="num" w:pos="3589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  <w:tabs>
          <w:tab w:val="num" w:pos="4309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  <w:tabs>
          <w:tab w:val="num" w:pos="5029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  <w:tabs>
          <w:tab w:val="num" w:pos="5749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  <w:tabs>
          <w:tab w:val="num" w:pos="6469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  <w:tabs>
          <w:tab w:val="num" w:pos="7189" w:leader="none"/>
        </w:tabs>
      </w:pPr>
      <w:rPr>
        <w:rFonts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71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46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54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61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68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75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82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90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972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7"/>
  </w:num>
  <w:num w:numId="3">
    <w:abstractNumId w:val="3"/>
  </w:num>
  <w:num w:numId="4">
    <w:abstractNumId w:val="13"/>
  </w:num>
  <w:num w:numId="5">
    <w:abstractNumId w:val="16"/>
  </w:num>
  <w:num w:numId="6">
    <w:abstractNumId w:val="10"/>
  </w:num>
  <w:num w:numId="7">
    <w:abstractNumId w:val="12"/>
  </w:num>
  <w:num w:numId="8">
    <w:abstractNumId w:val="6"/>
  </w:num>
  <w:num w:numId="9">
    <w:abstractNumId w:val="14"/>
  </w:num>
  <w:num w:numId="10">
    <w:abstractNumId w:val="4"/>
  </w:num>
  <w:num w:numId="11">
    <w:abstractNumId w:val="15"/>
  </w:num>
  <w:num w:numId="12">
    <w:abstractNumId w:val="20"/>
  </w:num>
  <w:num w:numId="13">
    <w:abstractNumId w:val="9"/>
  </w:num>
  <w:num w:numId="14">
    <w:abstractNumId w:val="8"/>
  </w:num>
  <w:num w:numId="15">
    <w:abstractNumId w:val="11"/>
  </w:num>
  <w:num w:numId="16">
    <w:abstractNumId w:val="17"/>
  </w:num>
  <w:num w:numId="17">
    <w:abstractNumId w:val="21"/>
  </w:num>
  <w:num w:numId="18">
    <w:abstractNumId w:val="0"/>
  </w:num>
  <w:num w:numId="19">
    <w:abstractNumId w:val="5"/>
  </w:num>
  <w:num w:numId="20">
    <w:abstractNumId w:val="1"/>
  </w:num>
  <w:num w:numId="21">
    <w:abstractNumId w:val="18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6"/>
    <w:next w:val="68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86"/>
    <w:next w:val="68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6"/>
    <w:next w:val="68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6"/>
    <w:next w:val="68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6"/>
    <w:next w:val="68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6"/>
    <w:next w:val="68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6"/>
    <w:next w:val="68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6"/>
    <w:next w:val="68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6"/>
    <w:next w:val="68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8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86"/>
    <w:next w:val="68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86"/>
    <w:next w:val="68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86"/>
    <w:next w:val="68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6"/>
    <w:next w:val="68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8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8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86"/>
    <w:next w:val="68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8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8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86"/>
    <w:next w:val="68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6"/>
    <w:next w:val="68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6"/>
    <w:next w:val="68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6"/>
    <w:next w:val="68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6"/>
    <w:next w:val="68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6"/>
    <w:next w:val="68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6"/>
    <w:next w:val="68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6"/>
    <w:next w:val="68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6"/>
    <w:next w:val="68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6"/>
    <w:next w:val="686"/>
    <w:uiPriority w:val="99"/>
    <w:unhideWhenUsed/>
    <w:pPr>
      <w:spacing w:after="0" w:afterAutospacing="0"/>
    </w:pPr>
  </w:style>
  <w:style w:type="paragraph" w:styleId="686" w:default="1">
    <w:name w:val="Normal"/>
    <w:next w:val="686"/>
    <w:link w:val="686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character" w:styleId="687">
    <w:name w:val="Основной шрифт абзаца"/>
    <w:next w:val="687"/>
    <w:link w:val="686"/>
    <w:uiPriority w:val="1"/>
    <w:semiHidden/>
    <w:unhideWhenUsed/>
  </w:style>
  <w:style w:type="table" w:styleId="688">
    <w:name w:val="Обычная таблица"/>
    <w:next w:val="688"/>
    <w:link w:val="686"/>
    <w:uiPriority w:val="99"/>
    <w:semiHidden/>
    <w:unhideWhenUsed/>
    <w:tblPr/>
  </w:style>
  <w:style w:type="numbering" w:styleId="689">
    <w:name w:val="Нет списка"/>
    <w:next w:val="689"/>
    <w:link w:val="686"/>
    <w:uiPriority w:val="99"/>
    <w:semiHidden/>
    <w:unhideWhenUsed/>
  </w:style>
  <w:style w:type="paragraph" w:styleId="690">
    <w:name w:val="Абзац списка"/>
    <w:basedOn w:val="686"/>
    <w:next w:val="690"/>
    <w:link w:val="686"/>
    <w:uiPriority w:val="34"/>
    <w:qFormat/>
    <w:pPr>
      <w:contextualSpacing/>
      <w:ind w:left="720"/>
    </w:pPr>
  </w:style>
  <w:style w:type="paragraph" w:styleId="691">
    <w:name w:val="Текст сноски"/>
    <w:basedOn w:val="686"/>
    <w:next w:val="691"/>
    <w:link w:val="692"/>
    <w:uiPriority w:val="99"/>
    <w:semiHidden/>
    <w:unhideWhenUsed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692">
    <w:name w:val="Текст сноски Знак"/>
    <w:next w:val="692"/>
    <w:link w:val="691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693">
    <w:name w:val="Нижний колонтитул"/>
    <w:basedOn w:val="686"/>
    <w:next w:val="693"/>
    <w:link w:val="69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94">
    <w:name w:val="Нижний колонтитул Знак"/>
    <w:basedOn w:val="687"/>
    <w:next w:val="694"/>
    <w:link w:val="693"/>
    <w:uiPriority w:val="99"/>
  </w:style>
  <w:style w:type="paragraph" w:styleId="695">
    <w:name w:val="Верхний колонтитул"/>
    <w:basedOn w:val="686"/>
    <w:next w:val="695"/>
    <w:link w:val="69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96">
    <w:name w:val="Верхний колонтитул Знак"/>
    <w:basedOn w:val="687"/>
    <w:next w:val="696"/>
    <w:link w:val="695"/>
    <w:uiPriority w:val="99"/>
  </w:style>
  <w:style w:type="table" w:styleId="697">
    <w:name w:val="Сетка таблицы"/>
    <w:basedOn w:val="688"/>
    <w:next w:val="697"/>
    <w:link w:val="686"/>
    <w:uiPriority w:val="59"/>
    <w:pPr>
      <w:spacing w:after="0" w:line="240" w:lineRule="auto"/>
    </w:pPr>
    <w:tblPr/>
  </w:style>
  <w:style w:type="paragraph" w:styleId="698">
    <w:name w:val="Текст выноски"/>
    <w:basedOn w:val="686"/>
    <w:next w:val="698"/>
    <w:link w:val="69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99">
    <w:name w:val="Текст выноски Знак"/>
    <w:next w:val="699"/>
    <w:link w:val="698"/>
    <w:uiPriority w:val="99"/>
    <w:semiHidden/>
    <w:rPr>
      <w:rFonts w:ascii="Tahoma" w:hAnsi="Tahoma" w:cs="Tahoma"/>
      <w:sz w:val="16"/>
      <w:szCs w:val="16"/>
    </w:rPr>
  </w:style>
  <w:style w:type="paragraph" w:styleId="700">
    <w:name w:val="ConsPlusTitle"/>
    <w:next w:val="700"/>
    <w:link w:val="686"/>
    <w:uiPriority w:val="99"/>
    <w:pPr>
      <w:widowControl w:val="off"/>
    </w:pPr>
    <w:rPr>
      <w:rFonts w:ascii="Arial" w:hAnsi="Arial" w:eastAsia="Times New Roman" w:cs="Arial"/>
      <w:b/>
      <w:bCs/>
      <w:lang w:val="ru-RU" w:eastAsia="ru-RU" w:bidi="ar-SA"/>
    </w:rPr>
  </w:style>
  <w:style w:type="paragraph" w:styleId="701">
    <w:name w:val="Основной текст с отступом"/>
    <w:basedOn w:val="686"/>
    <w:next w:val="701"/>
    <w:link w:val="702"/>
    <w:uiPriority w:val="99"/>
    <w:unhideWhenUsed/>
    <w:pPr>
      <w:ind w:left="283"/>
      <w:spacing w:after="120"/>
    </w:pPr>
    <w:rPr>
      <w:rFonts w:ascii="Calibri" w:hAnsi="Calibri" w:eastAsia="Times New Roman" w:cs="Times New Roman"/>
    </w:rPr>
  </w:style>
  <w:style w:type="character" w:styleId="702">
    <w:name w:val="Основной текст с отступом Знак"/>
    <w:next w:val="702"/>
    <w:link w:val="701"/>
    <w:uiPriority w:val="99"/>
    <w:rPr>
      <w:rFonts w:ascii="Calibri" w:hAnsi="Calibri" w:eastAsia="Times New Roman" w:cs="Times New Roman"/>
    </w:rPr>
  </w:style>
  <w:style w:type="character" w:styleId="703">
    <w:name w:val="Гиперссылка"/>
    <w:next w:val="703"/>
    <w:link w:val="686"/>
    <w:uiPriority w:val="99"/>
    <w:unhideWhenUsed/>
    <w:rPr>
      <w:rFonts w:cs="Times New Roman"/>
      <w:color w:val="0000ff"/>
      <w:u w:val="single"/>
    </w:rPr>
  </w:style>
  <w:style w:type="paragraph" w:styleId="704">
    <w:name w:val="ConsPlusNonformat"/>
    <w:next w:val="704"/>
    <w:link w:val="686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paragraph" w:styleId="705">
    <w:name w:val="Текст"/>
    <w:basedOn w:val="686"/>
    <w:next w:val="705"/>
    <w:link w:val="706"/>
    <w:uiPriority w:val="99"/>
    <w:semiHidden/>
    <w:unhideWhenUsed/>
    <w:pPr>
      <w:spacing w:after="0" w:line="240" w:lineRule="auto"/>
    </w:pPr>
    <w:rPr>
      <w:rFonts w:ascii="Calibri" w:hAnsi="Calibri"/>
      <w:szCs w:val="21"/>
    </w:rPr>
  </w:style>
  <w:style w:type="character" w:styleId="706">
    <w:name w:val="Текст Знак"/>
    <w:next w:val="706"/>
    <w:link w:val="705"/>
    <w:uiPriority w:val="99"/>
    <w:semiHidden/>
    <w:rPr>
      <w:rFonts w:ascii="Calibri" w:hAnsi="Calibri"/>
      <w:szCs w:val="21"/>
    </w:rPr>
  </w:style>
  <w:style w:type="paragraph" w:styleId="707">
    <w:name w:val="ConsPlusNormal"/>
    <w:next w:val="707"/>
    <w:link w:val="708"/>
    <w:qFormat/>
    <w:pPr>
      <w:widowControl w:val="off"/>
    </w:pPr>
    <w:rPr>
      <w:rFonts w:ascii="Arial" w:hAnsi="Arial" w:eastAsia="Times New Roman" w:cs="Arial"/>
      <w:lang w:val="ru-RU" w:eastAsia="ru-RU" w:bidi="ar-SA"/>
    </w:rPr>
  </w:style>
  <w:style w:type="character" w:styleId="708">
    <w:name w:val="ConsPlusNormal Знак"/>
    <w:next w:val="708"/>
    <w:link w:val="707"/>
    <w:rPr>
      <w:rFonts w:ascii="Arial" w:hAnsi="Arial" w:eastAsia="Times New Roman" w:cs="Arial"/>
      <w:sz w:val="20"/>
      <w:szCs w:val="20"/>
      <w:lang w:eastAsia="ru-RU"/>
    </w:rPr>
  </w:style>
  <w:style w:type="character" w:styleId="1457" w:default="1">
    <w:name w:val="Default Paragraph Font"/>
    <w:uiPriority w:val="1"/>
    <w:semiHidden/>
    <w:unhideWhenUsed/>
  </w:style>
  <w:style w:type="numbering" w:styleId="1458" w:default="1">
    <w:name w:val="No List"/>
    <w:uiPriority w:val="99"/>
    <w:semiHidden/>
    <w:unhideWhenUsed/>
  </w:style>
  <w:style w:type="table" w:styleId="145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минтруд Новосибирской области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Высоцкая Людмила Владимировна</dc:creator>
  <cp:revision>4</cp:revision>
  <dcterms:created xsi:type="dcterms:W3CDTF">2023-03-21T10:11:00Z</dcterms:created>
  <dcterms:modified xsi:type="dcterms:W3CDTF">2024-02-02T09:28:18Z</dcterms:modified>
  <cp:version>917504</cp:version>
</cp:coreProperties>
</file>