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31" w:rsidRPr="00C92C31" w:rsidRDefault="00C92C31" w:rsidP="00C92C31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C92C31" w:rsidRPr="00C92C31" w:rsidRDefault="00C92C31" w:rsidP="00C92C31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C92C31" w:rsidRPr="00C92C31" w:rsidRDefault="00C92C31" w:rsidP="00C92C3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департамента имущества</w:t>
      </w:r>
    </w:p>
    <w:p w:rsidR="00C92C31" w:rsidRPr="00C92C31" w:rsidRDefault="00C92C31" w:rsidP="00C92C3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земельных отношений</w:t>
      </w:r>
    </w:p>
    <w:p w:rsidR="00C92C31" w:rsidRPr="00C92C31" w:rsidRDefault="00C92C31" w:rsidP="00C92C3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8B0E24" w:rsidRPr="0083102B" w:rsidRDefault="00C92C31" w:rsidP="00C92C3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 №________</w:t>
      </w:r>
      <w:r w:rsidRPr="00C92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</w:r>
    </w:p>
    <w:p w:rsidR="0083102B" w:rsidRDefault="0083102B" w:rsidP="008B0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D95" w:rsidRPr="007F4D95" w:rsidRDefault="007F4D95" w:rsidP="007F4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D95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4B028B" w:rsidRPr="007F4D95" w:rsidRDefault="007F4D95" w:rsidP="007F4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D95">
        <w:rPr>
          <w:rFonts w:ascii="Times New Roman" w:hAnsi="Times New Roman" w:cs="Times New Roman"/>
          <w:b/>
          <w:sz w:val="28"/>
          <w:szCs w:val="28"/>
        </w:rPr>
        <w:t>прогнозирования поступлени</w:t>
      </w:r>
      <w:r w:rsidR="00576832">
        <w:rPr>
          <w:rFonts w:ascii="Times New Roman" w:hAnsi="Times New Roman" w:cs="Times New Roman"/>
          <w:b/>
          <w:sz w:val="28"/>
          <w:szCs w:val="28"/>
        </w:rPr>
        <w:t>й</w:t>
      </w:r>
      <w:r w:rsidRPr="007F4D95">
        <w:rPr>
          <w:rFonts w:ascii="Times New Roman" w:hAnsi="Times New Roman" w:cs="Times New Roman"/>
          <w:b/>
          <w:sz w:val="28"/>
          <w:szCs w:val="28"/>
        </w:rPr>
        <w:t xml:space="preserve"> в областной бюджет </w:t>
      </w:r>
      <w:proofErr w:type="gramStart"/>
      <w:r w:rsidRPr="007F4D95">
        <w:rPr>
          <w:rFonts w:ascii="Times New Roman" w:hAnsi="Times New Roman" w:cs="Times New Roman"/>
          <w:b/>
          <w:sz w:val="28"/>
          <w:szCs w:val="28"/>
        </w:rPr>
        <w:t>Новосибирской</w:t>
      </w:r>
      <w:proofErr w:type="gramEnd"/>
      <w:r w:rsidRPr="007F4D95">
        <w:rPr>
          <w:rFonts w:ascii="Times New Roman" w:hAnsi="Times New Roman" w:cs="Times New Roman"/>
          <w:b/>
          <w:sz w:val="28"/>
          <w:szCs w:val="28"/>
        </w:rPr>
        <w:t xml:space="preserve"> области неналоговых доходов, администри</w:t>
      </w:r>
      <w:r w:rsidR="00F54243">
        <w:rPr>
          <w:rFonts w:ascii="Times New Roman" w:hAnsi="Times New Roman" w:cs="Times New Roman"/>
          <w:b/>
          <w:sz w:val="28"/>
          <w:szCs w:val="28"/>
        </w:rPr>
        <w:t>ру</w:t>
      </w:r>
      <w:r w:rsidR="00F54243">
        <w:rPr>
          <w:rFonts w:ascii="Times New Roman" w:hAnsi="Times New Roman" w:cs="Times New Roman"/>
          <w:b/>
          <w:sz w:val="28"/>
          <w:szCs w:val="28"/>
        </w:rPr>
        <w:t>е</w:t>
      </w:r>
      <w:r w:rsidR="00F54243">
        <w:rPr>
          <w:rFonts w:ascii="Times New Roman" w:hAnsi="Times New Roman" w:cs="Times New Roman"/>
          <w:b/>
          <w:sz w:val="28"/>
          <w:szCs w:val="28"/>
        </w:rPr>
        <w:t>мых департаментом</w:t>
      </w:r>
      <w:r w:rsidR="004B028B" w:rsidRPr="007F4D95">
        <w:rPr>
          <w:rFonts w:ascii="Times New Roman" w:hAnsi="Times New Roman" w:cs="Times New Roman"/>
          <w:b/>
          <w:sz w:val="28"/>
          <w:szCs w:val="28"/>
        </w:rPr>
        <w:t xml:space="preserve"> имущества и земельных </w:t>
      </w:r>
      <w:r w:rsidR="008C726A">
        <w:rPr>
          <w:rFonts w:ascii="Times New Roman" w:hAnsi="Times New Roman" w:cs="Times New Roman"/>
          <w:b/>
          <w:sz w:val="28"/>
          <w:szCs w:val="28"/>
        </w:rPr>
        <w:t>отношений Новосибирской области</w:t>
      </w:r>
    </w:p>
    <w:tbl>
      <w:tblPr>
        <w:tblStyle w:val="a3"/>
        <w:tblpPr w:leftFromText="180" w:rightFromText="180" w:vertAnchor="page" w:horzAnchor="margin" w:tblpY="4745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18"/>
        <w:gridCol w:w="1559"/>
        <w:gridCol w:w="3402"/>
        <w:gridCol w:w="1418"/>
        <w:gridCol w:w="708"/>
        <w:gridCol w:w="4253"/>
        <w:gridCol w:w="992"/>
      </w:tblGrid>
      <w:tr w:rsidR="00C06FD9" w:rsidRPr="00EB53DD" w:rsidTr="008A58B5">
        <w:tc>
          <w:tcPr>
            <w:tcW w:w="534" w:type="dxa"/>
            <w:vAlign w:val="center"/>
          </w:tcPr>
          <w:p w:rsidR="00C06FD9" w:rsidRPr="00EB53DD" w:rsidRDefault="00C06FD9" w:rsidP="00B37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" w:type="dxa"/>
            <w:vAlign w:val="center"/>
          </w:tcPr>
          <w:p w:rsidR="00C06FD9" w:rsidRPr="00EB53DD" w:rsidRDefault="00C06FD9" w:rsidP="00B37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proofErr w:type="gramStart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proofErr w:type="gramEnd"/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1418" w:type="dxa"/>
            <w:vAlign w:val="center"/>
          </w:tcPr>
          <w:p w:rsidR="00C06FD9" w:rsidRPr="00EB53DD" w:rsidRDefault="00C06FD9" w:rsidP="008A5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главного администр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тора доходов</w:t>
            </w:r>
          </w:p>
        </w:tc>
        <w:tc>
          <w:tcPr>
            <w:tcW w:w="1559" w:type="dxa"/>
            <w:vAlign w:val="center"/>
          </w:tcPr>
          <w:p w:rsidR="00C06FD9" w:rsidRPr="00EB53DD" w:rsidRDefault="00C06FD9" w:rsidP="00B37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3402" w:type="dxa"/>
            <w:vAlign w:val="center"/>
          </w:tcPr>
          <w:p w:rsidR="00C06FD9" w:rsidRPr="00EB53DD" w:rsidRDefault="00C06FD9" w:rsidP="008A5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КБК доходов</w:t>
            </w:r>
          </w:p>
        </w:tc>
        <w:tc>
          <w:tcPr>
            <w:tcW w:w="1418" w:type="dxa"/>
            <w:vAlign w:val="center"/>
          </w:tcPr>
          <w:p w:rsidR="00C06FD9" w:rsidRPr="00EB53DD" w:rsidRDefault="00C06FD9" w:rsidP="00B37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метода расчета</w:t>
            </w:r>
          </w:p>
        </w:tc>
        <w:tc>
          <w:tcPr>
            <w:tcW w:w="708" w:type="dxa"/>
            <w:vAlign w:val="center"/>
          </w:tcPr>
          <w:p w:rsidR="00C06FD9" w:rsidRPr="00EB53DD" w:rsidRDefault="00C06FD9" w:rsidP="00B37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мула ра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чета</w:t>
            </w:r>
          </w:p>
        </w:tc>
        <w:tc>
          <w:tcPr>
            <w:tcW w:w="4253" w:type="dxa"/>
            <w:vAlign w:val="center"/>
          </w:tcPr>
          <w:p w:rsidR="00C06FD9" w:rsidRPr="00EB53DD" w:rsidRDefault="00C06FD9" w:rsidP="008A5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расчета</w:t>
            </w:r>
          </w:p>
        </w:tc>
        <w:tc>
          <w:tcPr>
            <w:tcW w:w="992" w:type="dxa"/>
            <w:vAlign w:val="center"/>
          </w:tcPr>
          <w:p w:rsidR="00C06FD9" w:rsidRPr="00EB53DD" w:rsidRDefault="00C06FD9" w:rsidP="00B37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п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B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</w:t>
            </w:r>
          </w:p>
        </w:tc>
      </w:tr>
      <w:tr w:rsidR="00C06FD9" w:rsidRPr="004B028B" w:rsidTr="008A58B5">
        <w:tc>
          <w:tcPr>
            <w:tcW w:w="534" w:type="dxa"/>
            <w:vAlign w:val="center"/>
          </w:tcPr>
          <w:p w:rsidR="00C06FD9" w:rsidRPr="00ED3DC5" w:rsidRDefault="00C06FD9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06FD9" w:rsidRPr="00ED3DC5" w:rsidRDefault="00C06FD9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C06FD9" w:rsidRPr="00ED3DC5" w:rsidRDefault="00C06FD9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ED3DC5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C06FD9" w:rsidRPr="00ED3DC5" w:rsidRDefault="00C06FD9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F93" w:rsidRPr="00E22F9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0708201 0000110</w:t>
            </w:r>
          </w:p>
        </w:tc>
        <w:tc>
          <w:tcPr>
            <w:tcW w:w="3402" w:type="dxa"/>
            <w:vAlign w:val="center"/>
          </w:tcPr>
          <w:p w:rsidR="00C06FD9" w:rsidRPr="00ED3DC5" w:rsidRDefault="00C06FD9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ных с лицензированием, с проведением аттестации в случаях, если такая аттестация предусмотрена законодател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ством РФ, зачисляемая в бю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жеты субъектов РФ</w:t>
            </w:r>
          </w:p>
        </w:tc>
        <w:tc>
          <w:tcPr>
            <w:tcW w:w="1418" w:type="dxa"/>
            <w:vAlign w:val="center"/>
          </w:tcPr>
          <w:p w:rsidR="00793A9F" w:rsidRPr="00ED3DC5" w:rsidRDefault="00793A9F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793A9F" w:rsidRPr="00ED3DC5" w:rsidRDefault="00793A9F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C06FD9" w:rsidRPr="00ED3DC5" w:rsidRDefault="00793A9F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C06FD9" w:rsidRPr="004B028B" w:rsidRDefault="008E7264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4742F8" w:rsidRDefault="004641C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Объем поступлений по данному коду классификации доходов определяется методом прямого расчета, основанного на использовании фактических знач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ний ставок государственной пошлины, установленных Налоговым Кодексом РФ и фактического количества физ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ческих лиц за год, предшествующему отчетному году. Расчет поступлений на каждый последующий год рассч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 xml:space="preserve">тывается посредством умножения ожидаемого количества физических 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обратившихся за услугой, на де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ствующую ставку государственной пошлины.</w:t>
            </w:r>
          </w:p>
          <w:p w:rsidR="004700F4" w:rsidRPr="004641CE" w:rsidRDefault="004641C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1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4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06FD9" w:rsidRPr="004B028B" w:rsidRDefault="008E7264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700F4" w:rsidRPr="004B028B" w:rsidTr="008A58B5">
        <w:tc>
          <w:tcPr>
            <w:tcW w:w="534" w:type="dxa"/>
            <w:vAlign w:val="center"/>
          </w:tcPr>
          <w:p w:rsidR="004700F4" w:rsidRPr="00F91F53" w:rsidRDefault="004700F4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4700F4" w:rsidRPr="00F91F53" w:rsidRDefault="004700F4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4700F4" w:rsidRPr="00F91F53" w:rsidRDefault="004700F4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4700F4" w:rsidRPr="004B028B" w:rsidRDefault="004700F4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E22F93">
              <w:rPr>
                <w:rFonts w:ascii="Times New Roman" w:hAnsi="Times New Roman" w:cs="Times New Roman"/>
                <w:sz w:val="24"/>
                <w:szCs w:val="24"/>
              </w:rPr>
              <w:t>01020</w:t>
            </w: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02 0000120</w:t>
            </w:r>
          </w:p>
        </w:tc>
        <w:tc>
          <w:tcPr>
            <w:tcW w:w="3402" w:type="dxa"/>
            <w:vAlign w:val="center"/>
          </w:tcPr>
          <w:p w:rsidR="004700F4" w:rsidRPr="00F91F53" w:rsidRDefault="004700F4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ходящейся на доли в уставных (складочных) капиталах х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зяйственных товариществ и обществ, или дивидендов по акциям, принадлежащим  субъектам РФ</w:t>
            </w:r>
          </w:p>
        </w:tc>
        <w:tc>
          <w:tcPr>
            <w:tcW w:w="1418" w:type="dxa"/>
            <w:vAlign w:val="center"/>
          </w:tcPr>
          <w:p w:rsidR="00031146" w:rsidRPr="00F91F53" w:rsidRDefault="00031146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031146" w:rsidRPr="00F91F53" w:rsidRDefault="00031146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4700F4" w:rsidRPr="00F91F53" w:rsidRDefault="00031146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4700F4" w:rsidRPr="004B028B" w:rsidRDefault="00031146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031146" w:rsidRPr="00031146" w:rsidRDefault="00031146" w:rsidP="00624471">
            <w:pPr>
              <w:tabs>
                <w:tab w:val="left" w:pos="709"/>
                <w:tab w:val="left" w:pos="2880"/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Объем плановых поступлений по да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ному виду неналоговых доходов опр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деляется методом прямого расчета в отношении каждого акционерного 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щества, ведущего финансово - хозя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ственную деятельность на момент с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ставления прогноза, пакет акций кот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рого не включен в прогнозный план приватизации государственного им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щества на плановый период и в отн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шении которых на момент составления прогноза бюджета департамент ос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ществляет полномочия общего собр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ния акционеров.</w:t>
            </w:r>
            <w:proofErr w:type="gramEnd"/>
            <w:r w:rsidRPr="0003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Расчет плановых п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ступлений осуществляется на основе процентного отношения среднегод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вой суммы дивидендов, перечисле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ных акционерным обществом в 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ластной бюджет Новосибирской обл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сти за последние три года (включая ожидаемое за отчетный год) к средн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му значению фактически полученной чистой прибыли акционерным общ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ством за последние три года (включая ожидаемое за отчетный год).</w:t>
            </w:r>
            <w:proofErr w:type="gramEnd"/>
            <w:r w:rsidRPr="00031146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ченное процентное отношение посре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ством умножения на планируемую ч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стую прибыль акционерного общества в плановом периоде определяет пр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 xml:space="preserve">гнозный размер неналоговых доходов в бюджет от дивидендов по акциям, 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в государственной со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ственности Новосибирской области.</w:t>
            </w:r>
          </w:p>
          <w:p w:rsidR="00031146" w:rsidRPr="00031146" w:rsidRDefault="00031146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Для расчета отчислений на каждый последующий плановый год чистая прибыль рассчитывается с учетом ежегодного роста в размере 5 % к предыдущему плановому году.</w:t>
            </w:r>
          </w:p>
          <w:p w:rsidR="004700F4" w:rsidRPr="00031146" w:rsidRDefault="00031146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2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1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700F4" w:rsidRPr="004B028B" w:rsidRDefault="00031146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F91F53" w:rsidRPr="004B028B" w:rsidTr="008A58B5">
        <w:tc>
          <w:tcPr>
            <w:tcW w:w="534" w:type="dxa"/>
            <w:vAlign w:val="center"/>
          </w:tcPr>
          <w:p w:rsidR="00F91F53" w:rsidRPr="00F91F53" w:rsidRDefault="00F91F5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  <w:vAlign w:val="center"/>
          </w:tcPr>
          <w:p w:rsidR="00F91F53" w:rsidRPr="00F91F53" w:rsidRDefault="00F91F5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F91F53" w:rsidRPr="00F91F53" w:rsidRDefault="00F91F5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F91F53" w:rsidRPr="004B028B" w:rsidRDefault="00F91F53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1110502202 0000120</w:t>
            </w:r>
          </w:p>
        </w:tc>
        <w:tc>
          <w:tcPr>
            <w:tcW w:w="3402" w:type="dxa"/>
            <w:vAlign w:val="center"/>
          </w:tcPr>
          <w:p w:rsidR="00F91F53" w:rsidRPr="00F91F53" w:rsidRDefault="00F91F5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ства от продажи права на з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ключение договоров аренды за земли, находящиеся в со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ственности субъектов РФ (за исключением земельных участков бюджетных и авт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номных учреждений субъе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тов РФ</w:t>
            </w:r>
            <w:proofErr w:type="gramEnd"/>
          </w:p>
        </w:tc>
        <w:tc>
          <w:tcPr>
            <w:tcW w:w="1418" w:type="dxa"/>
            <w:vAlign w:val="center"/>
          </w:tcPr>
          <w:p w:rsidR="00F91F53" w:rsidRPr="00ED3DC5" w:rsidRDefault="00F91F5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F91F53" w:rsidRPr="00ED3DC5" w:rsidRDefault="00F91F5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F91F53" w:rsidRPr="00ED3DC5" w:rsidRDefault="00F91F5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F91F53" w:rsidRPr="004B028B" w:rsidRDefault="00F91F53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F91F53" w:rsidRPr="00F91F53" w:rsidRDefault="00F91F5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по данному виду неналоговых доходов определяется методом прямого расч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та в отношении каждого арендатора имущества, находящегося </w:t>
            </w:r>
            <w:r w:rsidR="003B396C">
              <w:rPr>
                <w:rFonts w:ascii="Times New Roman" w:hAnsi="Times New Roman" w:cs="Times New Roman"/>
                <w:sz w:val="24"/>
                <w:szCs w:val="24"/>
              </w:rPr>
              <w:t xml:space="preserve">в казне или 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оперативном управлении казенных учреждений, с которым на момент с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ставления прогноза заключен договор аренды, либо договор уже расторгнут, но имеется задолженность по арен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ной плате.</w:t>
            </w:r>
          </w:p>
          <w:p w:rsidR="00F91F53" w:rsidRPr="00F91F53" w:rsidRDefault="00F91F5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Расчет плановых поступлений на пе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вый год планового периода осущест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ляется на основе ожидаемого посту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ления за отчетный год умноженного  на максимальный индекс уровня </w:t>
            </w:r>
            <w:proofErr w:type="gramStart"/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фляции</w:t>
            </w:r>
            <w:proofErr w:type="gramEnd"/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финансовый год, установленный в федеральном законе о федеральном бюджете на текущий финансовый год. Прогноз на второй и третий год планового периода опред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ляются как величина прогноза, ско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ректированная на индекс уровня и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фляции, определенного федеральным  законом о федеральном бюджете на текущий финансовый год.</w:t>
            </w:r>
          </w:p>
          <w:p w:rsidR="00F91F53" w:rsidRPr="00F91F53" w:rsidRDefault="00F91F5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 по догов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рам, срок действия которых закончи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ся до момента составления прогноза, планируется в размере суммы осно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ного долга без учета пени и неустоек.</w:t>
            </w:r>
          </w:p>
          <w:p w:rsidR="00F91F53" w:rsidRPr="00F91F53" w:rsidRDefault="00F91F5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3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F91F53" w:rsidRPr="004B028B" w:rsidRDefault="00F91F53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C150F3" w:rsidRPr="004B028B" w:rsidTr="008A58B5">
        <w:tc>
          <w:tcPr>
            <w:tcW w:w="534" w:type="dxa"/>
            <w:vAlign w:val="center"/>
          </w:tcPr>
          <w:p w:rsidR="00C150F3" w:rsidRPr="003B396C" w:rsidRDefault="00C150F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:rsidR="00C150F3" w:rsidRPr="003B396C" w:rsidRDefault="00C150F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C150F3" w:rsidRPr="003B396C" w:rsidRDefault="00C150F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3B396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C150F3" w:rsidRPr="004B028B" w:rsidRDefault="00C150F3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1110503202 0000120</w:t>
            </w:r>
          </w:p>
        </w:tc>
        <w:tc>
          <w:tcPr>
            <w:tcW w:w="3402" w:type="dxa"/>
            <w:vAlign w:val="center"/>
          </w:tcPr>
          <w:p w:rsidR="00C150F3" w:rsidRPr="003B396C" w:rsidRDefault="00C150F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</w:t>
            </w:r>
            <w:proofErr w:type="gramStart"/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находящегося</w:t>
            </w:r>
            <w:proofErr w:type="gramEnd"/>
            <w:r w:rsidRPr="003B396C">
              <w:rPr>
                <w:rFonts w:ascii="Times New Roman" w:hAnsi="Times New Roman" w:cs="Times New Roman"/>
                <w:sz w:val="24"/>
                <w:szCs w:val="24"/>
              </w:rPr>
              <w:t xml:space="preserve"> в оперативном управлении о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ганов государственной власти субъектов РФ и созданных ими учреждений (за исключ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396C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автономных учреждений субъектов РФ)</w:t>
            </w:r>
          </w:p>
        </w:tc>
        <w:tc>
          <w:tcPr>
            <w:tcW w:w="1418" w:type="dxa"/>
            <w:vAlign w:val="center"/>
          </w:tcPr>
          <w:p w:rsidR="00C150F3" w:rsidRPr="00ED3DC5" w:rsidRDefault="00C150F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C150F3" w:rsidRPr="00ED3DC5" w:rsidRDefault="00C150F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C150F3" w:rsidRPr="00ED3DC5" w:rsidRDefault="00C150F3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C150F3" w:rsidRPr="004B028B" w:rsidRDefault="00C150F3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C150F3" w:rsidRPr="00C150F3" w:rsidRDefault="00C150F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по данному виду неналоговых доходов определяется методом прямого расч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та в отношении каждого арендатора имущества, оборудования, передато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ных устройств и другого движимого имущества, находящегося в операти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ном управлении казенных учрежд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ний, с которым на момент составления прогноза заключен договор аренды.</w:t>
            </w:r>
          </w:p>
          <w:p w:rsidR="00C150F3" w:rsidRPr="00F5644C" w:rsidRDefault="00C150F3" w:rsidP="00624471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пр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изводится на основе ожидаемых п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ступлений за отчетный год с учетом заключенных договоров аренды и ст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вок арендной платы, рассчитанных в соответствии с Порядком определения размера арендной платы за пользов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ние имуществом, находящимся в гос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дарственной собственности Новос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 xml:space="preserve">бирской области, предоставленным в аренду в соответствии 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 постановл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нием Правительства Новосибирской области от 16.04.2019 № 147-п.</w:t>
            </w:r>
            <w:proofErr w:type="gramEnd"/>
          </w:p>
          <w:p w:rsidR="00C150F3" w:rsidRPr="00C150F3" w:rsidRDefault="00C150F3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4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150F3" w:rsidRPr="004B028B" w:rsidRDefault="00C150F3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0DC" w:rsidRPr="004B028B" w:rsidTr="008A58B5">
        <w:tc>
          <w:tcPr>
            <w:tcW w:w="534" w:type="dxa"/>
            <w:vAlign w:val="center"/>
          </w:tcPr>
          <w:p w:rsidR="007240DC" w:rsidRPr="00F5644C" w:rsidRDefault="007240DC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7240DC" w:rsidRPr="00F5644C" w:rsidRDefault="007240DC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7240DC" w:rsidRPr="00F5644C" w:rsidRDefault="007240DC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7240DC" w:rsidRPr="00E22F93" w:rsidRDefault="007240DC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1110701202 0000120</w:t>
            </w:r>
          </w:p>
        </w:tc>
        <w:tc>
          <w:tcPr>
            <w:tcW w:w="3402" w:type="dxa"/>
            <w:vAlign w:val="center"/>
          </w:tcPr>
          <w:p w:rsidR="007240DC" w:rsidRPr="00F5644C" w:rsidRDefault="007240DC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сти прибыли, остающейся п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сле уплаты налогов и иных обязательных платежей гос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дарственных унитарных пре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приятий субъектов РФ</w:t>
            </w:r>
          </w:p>
        </w:tc>
        <w:tc>
          <w:tcPr>
            <w:tcW w:w="1418" w:type="dxa"/>
            <w:vAlign w:val="center"/>
          </w:tcPr>
          <w:p w:rsidR="007240DC" w:rsidRPr="00ED3DC5" w:rsidRDefault="007240DC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</w:p>
          <w:p w:rsidR="007240DC" w:rsidRPr="00ED3DC5" w:rsidRDefault="007240DC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7240DC" w:rsidRPr="00ED3DC5" w:rsidRDefault="007240DC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7240DC" w:rsidRPr="004B028B" w:rsidRDefault="007240DC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7240DC" w:rsidRPr="00D12D9E" w:rsidRDefault="007240DC" w:rsidP="00624471">
            <w:pP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Объем плановых поступлений по данному виду неналоговых доходов определяется методом прямого расч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та в отношении каждого унитарного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Новосибирской области, находящегося в реестре госуда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 Новосиби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ской области и ведущего финансово - хозяйственную деятельность на м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мент составления прогноза, перечень которых корректируется в соотве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ствии с прогнозным планом приват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зации государственного имущества или решениями собственника о смене организационно-правовой формы ГУП.</w:t>
            </w:r>
            <w:proofErr w:type="gramEnd"/>
          </w:p>
          <w:p w:rsidR="007240DC" w:rsidRPr="00D12D9E" w:rsidRDefault="007240DC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ос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ществляется путем умножения план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руемой чистой прибыли унитарного предприятия на размер отчислений от чистой прибыли за использование го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ударственного имущества. 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ствии с законом о бюджете унитарные предприятия Новосибирской области за использование государственного имущества Новосибирской области осуществляют перечисления в облас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ной бюджет в размере 20% прибыли, остающейся после уплаты налогов и иных обязательных платежей.</w:t>
            </w:r>
            <w:proofErr w:type="gramEnd"/>
          </w:p>
          <w:p w:rsidR="007240DC" w:rsidRPr="00D12D9E" w:rsidRDefault="007240DC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Планируемая чистая прибыль на пе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вый год планового периода определ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ется путем умножения среднегодового значения величины чистой прибыли, фактически полученной унитарным предприятием за последние три года (включая 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год) на прирост чистой прибыли в размере 5%.</w:t>
            </w:r>
          </w:p>
          <w:p w:rsidR="007240DC" w:rsidRPr="00D12D9E" w:rsidRDefault="007240DC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отчислений на каждый последующий плановый период чистая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прибыль рассчитывается с учетом ежегодного роста в размере 5 % к предыдущему плановому году.</w:t>
            </w:r>
          </w:p>
          <w:p w:rsidR="007240DC" w:rsidRPr="00D12D9E" w:rsidRDefault="007240DC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дена в приложении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240DC" w:rsidRDefault="00B62B06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549EE" w:rsidRPr="004B028B" w:rsidTr="008A58B5">
        <w:tc>
          <w:tcPr>
            <w:tcW w:w="534" w:type="dxa"/>
            <w:vAlign w:val="center"/>
          </w:tcPr>
          <w:p w:rsidR="004549EE" w:rsidRPr="00F5644C" w:rsidRDefault="004549EE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  <w:vAlign w:val="center"/>
          </w:tcPr>
          <w:p w:rsidR="004549EE" w:rsidRPr="00F5644C" w:rsidRDefault="004549EE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4549EE" w:rsidRPr="00F5644C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4549EE" w:rsidRPr="00E22F93" w:rsidRDefault="004549EE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1140202302 0000410</w:t>
            </w:r>
          </w:p>
        </w:tc>
        <w:tc>
          <w:tcPr>
            <w:tcW w:w="3402" w:type="dxa"/>
            <w:vAlign w:val="center"/>
          </w:tcPr>
          <w:p w:rsidR="004549EE" w:rsidRPr="00F5644C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субъектов РФ (за исключением имущества бюджетных и автономных учреждений субъектов РФ, а также имущества госуда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ственных унитарных предпр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ятий субъектов РФ, в том чи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ле казенных), в части реализ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ции основных средств по ук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занному имуществу</w:t>
            </w:r>
          </w:p>
        </w:tc>
        <w:tc>
          <w:tcPr>
            <w:tcW w:w="1418" w:type="dxa"/>
            <w:vAlign w:val="center"/>
          </w:tcPr>
          <w:p w:rsidR="004549EE" w:rsidRPr="0031000C" w:rsidRDefault="004549EE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4549EE" w:rsidRPr="0031000C" w:rsidRDefault="004549EE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4549EE" w:rsidRPr="0031000C" w:rsidRDefault="004549EE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4549EE" w:rsidRPr="004B028B" w:rsidRDefault="004549EE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Расчет поступлений по данному виду доходов осуществляется в отношении объектов недвижимого имущества, находящихся в государственной со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ственности Новосибирской области и включенных в прогнозный план пр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ватизации государственного имущ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2C1D83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на оч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редной финансовый год и последу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щий плановый период.</w:t>
            </w:r>
            <w:proofErr w:type="gramEnd"/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Размер плановых поступлений от ре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лизации объектов недвижимого им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щества на очередной финансовый год определяется на основании рыночной стоимости объектов недвижимости без учета НДС, продажу которых план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руется начать в очередном финанс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вом году, скорректированной на коэ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фициент реализации для первого года продаж.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Размер плановых поступлений от ре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лизации объектов недвижимого им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щества на первый плановый период</w:t>
            </w:r>
            <w:r w:rsidRPr="00D12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определяется как сумма</w:t>
            </w:r>
            <w:r w:rsidRPr="00D12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рыночной стоимости объектов недвижимости без учета НДС, продажу которых план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руется начать в очередном финанс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вом году, скорректированной на коэ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фициент реализации для второго года продаж, и рыночной стоимости объе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тов недвижимости без учета НДС,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продажу которого планируется начать в первом плановом периоде, скорре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тированной на коэффициент реализ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ции для первого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продаж.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Размер плановых поступлений от ре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лизации объектов недвижимого им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щества на второй плановый период</w:t>
            </w:r>
            <w:r w:rsidRPr="00D12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определяется как сумма</w:t>
            </w:r>
            <w:r w:rsidRPr="00D12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рыночной стоимости объектов недвижимости без учета НДС, продажу которых план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руется начать в очередном финанс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вом году, скорректированной на коэ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фициент реализации для третьего года продаж, рыночной стоимости объектов недвижимости без учета НДС, прод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жу которых планируется начать в пе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вом плановом периоде, скорректир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ванной на коэффициент реализации для второго года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продаж и рыночной стоимости объектов недвижимости без учета НДС, продажу которых план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руется начать во втором плановом п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риоде, скорректированной на коэфф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циент реализации для первого года продаж.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Коэффициенты реализации продаж определяются по формулам:</w:t>
            </w:r>
          </w:p>
          <w:p w:rsidR="00D90AFD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для первого года продаж: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AFD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для второго года продаж: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AFD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для третьего года продаж: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="008B17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– количество объектов, проданных в первый год, после того как они были включены в прогнозный план приват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зации;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объектов, проданных во второй год, после того как они были включены в прогнозный план приват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зации;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объектов, проданных в третий год, после того как они были включены в прогнозный план приват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зации;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объектов, включенных в прогнозный план пр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ватизации за 3 года, предшествующих году составления прогноза.</w:t>
            </w:r>
          </w:p>
          <w:p w:rsidR="004549EE" w:rsidRPr="00D12D9E" w:rsidRDefault="004549EE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6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549EE" w:rsidRPr="004B028B" w:rsidRDefault="004549EE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8C06D8" w:rsidRPr="004B028B" w:rsidTr="008A58B5">
        <w:tc>
          <w:tcPr>
            <w:tcW w:w="534" w:type="dxa"/>
            <w:vAlign w:val="center"/>
          </w:tcPr>
          <w:p w:rsidR="008C06D8" w:rsidRPr="00F5644C" w:rsidRDefault="008C06D8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  <w:vAlign w:val="center"/>
          </w:tcPr>
          <w:p w:rsidR="008C06D8" w:rsidRPr="00F5644C" w:rsidRDefault="008C06D8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8C06D8" w:rsidRPr="00F5644C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8C06D8" w:rsidRPr="00E22F93" w:rsidRDefault="008C06D8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1140602202 0000430</w:t>
            </w:r>
          </w:p>
        </w:tc>
        <w:tc>
          <w:tcPr>
            <w:tcW w:w="3402" w:type="dxa"/>
            <w:vAlign w:val="center"/>
          </w:tcPr>
          <w:p w:rsidR="008C06D8" w:rsidRPr="00F5644C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ных участков, находящихся в собственности субъектов РФ (за исключением </w:t>
            </w:r>
            <w:r w:rsidR="007921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бюджетных и 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номных учреждений субъе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тов РФ)</w:t>
            </w:r>
          </w:p>
        </w:tc>
        <w:tc>
          <w:tcPr>
            <w:tcW w:w="1418" w:type="dxa"/>
            <w:vAlign w:val="center"/>
          </w:tcPr>
          <w:p w:rsidR="008C06D8" w:rsidRPr="0031000C" w:rsidRDefault="008C06D8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8C06D8" w:rsidRPr="0031000C" w:rsidRDefault="008C06D8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8C06D8" w:rsidRPr="00ED3DC5" w:rsidRDefault="008C06D8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8C06D8" w:rsidRPr="004B028B" w:rsidRDefault="008C06D8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Расчет поступлений по данному виду доходов осуществляется в отношении земельных участков, находящихся под объектами, включенными в прогно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ный план приватизации государстве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ного имущества и в отношении з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мельных участков, н</w:t>
            </w:r>
            <w:r w:rsidRPr="00D12D9E">
              <w:rPr>
                <w:rFonts w:ascii="Times New Roman" w:hAnsi="Times New Roman" w:cs="Times New Roman"/>
                <w:bCs/>
                <w:sz w:val="24"/>
                <w:szCs w:val="24"/>
              </w:rPr>
              <w:t>аходящихся в со</w:t>
            </w:r>
            <w:r w:rsidRPr="00D12D9E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D12D9E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ственности Новосибирской области, приватизируемых собственниками зданий, стро</w:t>
            </w:r>
            <w:r w:rsidR="008B1768">
              <w:rPr>
                <w:rFonts w:ascii="Times New Roman" w:hAnsi="Times New Roman" w:cs="Times New Roman"/>
                <w:bCs/>
                <w:sz w:val="24"/>
                <w:szCs w:val="24"/>
              </w:rPr>
              <w:t>ений, сооружений.</w:t>
            </w:r>
            <w:proofErr w:type="gramEnd"/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Размер плановых поступлений от ре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лизации земельных участков, наход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щихся под объектами, включенными в прогнозный план приватизации гос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дарственного имущества на очередной финансовый год, определяется на 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новании рыночной стоимости земел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ных участков, продажу которых пл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нируется начать в очередном фина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совом году, скорректированной на к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эффициент реализации для первого года продаж.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плановых поступлений от ре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лизации земельных участков, наход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щихся под объектами, включенными в прогнозный план приватизации гос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дарственного имущества на первый плановый период,</w:t>
            </w:r>
            <w:r w:rsidRPr="00D12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определяется как сумма</w:t>
            </w:r>
            <w:r w:rsidRPr="00D12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рыночной </w:t>
            </w:r>
            <w:r w:rsidR="008B176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земельных участков, продажу которых планир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ется начать в очередном финансовом году, скорректированной на коэфф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циент реализации для второго года продаж, и рыночной стоимости з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мельных участков, продажу которых планируется начать в первом план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вом периоде, скорректированной на коэффициент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для первого года продаж.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Размер плановых поступлений от ре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лизации земельных участков, наход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щихся под объектами, включенными в прогнозный план приватизации гос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дарственного имущества на второй плановый период, определяется как сумма рыночной стоимости земельных участков, продажу которых планир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ется начать в очередном финансовом году, скорректированной на коэфф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циент реализации для третьего года продаж, рыночной стоимости земел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ных участков, продажу которых пл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нируется начать в первом плановом периоде, скорректированной на коэ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фициент реализации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для второго года продаж, и рыночной стоимости з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мельных участков, продажу которых планируется начать во втором план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вом периоде, скорректированной на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реализации для первого года продаж.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Коэффициенты реализации продаж определяются по формулам:</w:t>
            </w:r>
          </w:p>
          <w:p w:rsidR="00D90AFD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для первого года продаж: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AFD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для второго года продаж: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AFD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для третьего года продаж: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="008B17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– количество земельных участков, проданных в первый год после того, как они были включены в прогнозный план приватизации;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земельных участков, проданных во второй год после того, как они были включены в прогнозный план приватизации;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земельных участков, проданных в третий год после того, как они были включены в прогнозный план приватизации;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D12D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земельных участков, включенных в прогнозный план приватизации за 3 года, предш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ствующих году состав</w:t>
            </w:r>
            <w:r w:rsidR="00AA6C28">
              <w:rPr>
                <w:rFonts w:ascii="Times New Roman" w:hAnsi="Times New Roman" w:cs="Times New Roman"/>
                <w:sz w:val="24"/>
                <w:szCs w:val="24"/>
              </w:rPr>
              <w:t>ления прогноза.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Расчет поступлений в отношении з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мельных участков, </w:t>
            </w:r>
            <w:r w:rsidRPr="00D12D9E">
              <w:rPr>
                <w:rFonts w:ascii="Times New Roman" w:hAnsi="Times New Roman" w:cs="Times New Roman"/>
                <w:bCs/>
                <w:sz w:val="24"/>
                <w:szCs w:val="24"/>
              </w:rPr>
              <w:t>находящихся в со</w:t>
            </w:r>
            <w:r w:rsidRPr="00D12D9E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D12D9E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ственности Новосибирской области, приватизируемых собственниками зданий, строений, сооружений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ществляется на основе среднего зн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чения фактического поступления средств от реализации земельных участков собственникам </w:t>
            </w:r>
            <w:bookmarkStart w:id="0" w:name="_GoBack"/>
            <w:bookmarkEnd w:id="0"/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объектов 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движимости за 3 года (включая ожид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емое за отчетный год) умноженного на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индекс уровня инфл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ции на текущий финансовый год, установленный в федеральном законе о федеральном бюджете на текущий финансовый год. Прогноз на второй и третий год планового периода опред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ляются как величина прогноза, ско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ректированная на индекс уровня и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фляции, определенного федеральным законом о федеральном бюджете.</w:t>
            </w:r>
          </w:p>
          <w:p w:rsidR="008C06D8" w:rsidRPr="00D12D9E" w:rsidRDefault="008C06D8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7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C06D8" w:rsidRPr="004B028B" w:rsidRDefault="008C06D8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E22F93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1160701002 0000140</w:t>
            </w:r>
          </w:p>
        </w:tc>
        <w:tc>
          <w:tcPr>
            <w:tcW w:w="3402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ки исполнения поставщиком (подрядчиком, исполнителем) обязательств, предусмотре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ных государственным ко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трактом, заключенным гос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дарственным органом субъе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та Российской Федерации (к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зенным учреждением субъекта Российской Федерации)</w:t>
            </w:r>
          </w:p>
        </w:tc>
        <w:tc>
          <w:tcPr>
            <w:tcW w:w="1418" w:type="dxa"/>
            <w:vAlign w:val="center"/>
          </w:tcPr>
          <w:p w:rsidR="00E13672" w:rsidRPr="0031000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31000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E303D5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По данному коду доходов в областной бюджет Новосибирской области пр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гнозируется поступление денежных средств 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от взыскания по решению с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дебных органов сумм штрафов, неустоек и пени за неисполнение гос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дарственных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Прогноз д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финансовый год, а также на второй и третий год планов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го периода прогнозируется на уровне оценки отчетного года.</w:t>
            </w:r>
          </w:p>
          <w:p w:rsidR="00E13672" w:rsidRPr="00E303D5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8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E22F93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93">
              <w:rPr>
                <w:rFonts w:ascii="Times New Roman" w:hAnsi="Times New Roman" w:cs="Times New Roman"/>
                <w:sz w:val="24"/>
                <w:szCs w:val="24"/>
              </w:rPr>
              <w:t>1160709002 0000140</w:t>
            </w:r>
          </w:p>
        </w:tc>
        <w:tc>
          <w:tcPr>
            <w:tcW w:w="3402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ни, уплаченные в соотве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ствии с законом или догов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ром в случае неисполнения или ненадлежащего исполн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ния обязательств перед гос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дарственным органом субъе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та Российской Федерации, к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зенным учреждением субъекта Российской Федерации</w:t>
            </w:r>
          </w:p>
        </w:tc>
        <w:tc>
          <w:tcPr>
            <w:tcW w:w="1418" w:type="dxa"/>
            <w:vAlign w:val="center"/>
          </w:tcPr>
          <w:p w:rsidR="00E13672" w:rsidRPr="0031000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31000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EB193D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По данному коду доходов в областной бюджет Новосибирской области пр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гнозируется поступление денежных средств от взыскания сумм неоснов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тельного обогащения за использование государственного имущества и штр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фов (пени) за не</w:t>
            </w:r>
            <w:r w:rsidR="007921D2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числение арендной платы за земел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ные участки и имущество, находяще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ся в государственной собственности 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области, по решению судебных органов. Прогноз доходов на текущий финансовый год, а также на второй и третий год планового пери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да прогнозируется на уровне оценки отчетного года.</w:t>
            </w:r>
          </w:p>
          <w:p w:rsidR="00E13672" w:rsidRPr="00EB193D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дена в приложении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E22F93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1160201002 0000140</w:t>
            </w:r>
          </w:p>
        </w:tc>
        <w:tc>
          <w:tcPr>
            <w:tcW w:w="3402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рации об административных правонарушениях, за наруш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ние законов и иных нормати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ных правовых актов субъектов Российской Федерации</w:t>
            </w:r>
          </w:p>
        </w:tc>
        <w:tc>
          <w:tcPr>
            <w:tcW w:w="1418" w:type="dxa"/>
            <w:vAlign w:val="center"/>
          </w:tcPr>
          <w:p w:rsidR="00E13672" w:rsidRPr="0031000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31000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0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EB193D" w:rsidRDefault="00E13672" w:rsidP="006244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Данный вид доходов включает в себя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денежных средств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 по р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шениям судебных органов от штрафов по административным правонаруш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ниям, предусмотренных ч. 1 и ч. 2 ст. 11.15, ст.12.12 Закона Новосибирской области от 14.02.2003 № 99-ОЗ «Об административных правонарушениях </w:t>
            </w:r>
            <w:proofErr w:type="gramStart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области».</w:t>
            </w:r>
          </w:p>
          <w:p w:rsidR="00E13672" w:rsidRPr="00EB193D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Доход от взысканий прогнозируется отдельно по нарушениям, связанным с распоряжением объектами нежилого фонда, находящихся в государстве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ной собственности Новосибирской 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ласти и по нарушениям использования находящихся в государственной со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ственности объектов нежилого фонда без надлежаще оформленных док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ментов либо с нарушением устано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ленных норм и правил эксплуатации и содержания объектов нежилого фонда, а также за непредставление или нена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лежащее представление сведений (и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формации) в областной исполнител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ный орган</w:t>
            </w:r>
            <w:proofErr w:type="gramEnd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власти, уполномоченный в сфере управления и распоряжения государственным имуществом Новосибирской области, 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представление таких сведений является обязательным в соответствии с нормативными правовыми актами Новосибирской области.</w:t>
            </w:r>
          </w:p>
          <w:p w:rsidR="00E13672" w:rsidRPr="00EB193D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Размер штрафных санкций по ко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кретным правонарушениям определен статьями 11.15 и 12.12 Закона </w:t>
            </w:r>
            <w:proofErr w:type="gramStart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от 14.02.2003 № 99-ОЗ «Об административных правон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рушениях в Новосибирской области».</w:t>
            </w:r>
          </w:p>
          <w:p w:rsidR="00E13672" w:rsidRPr="00EB193D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При рассмотрении дел в судебных 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ганах, в случае признания лица вино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ным, оно подвергается штрафу в м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нимальном размере. Поэтому расчет прогноза поступлений ведется от м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нимальной суммы штрафа. Расчет ожидаемого количества лиц, привл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ченных к административной отве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ственности, осуществляется с учетом динамики фактически привлеченных лиц в отчетном периоде. Прогнозир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емая сумма поступлений денежных средств рассчитывается путем умн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жения минимального размера штрафа на ожидаемое количество лиц, привл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ченных к административной отве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ственности и поправочного коэффиц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ента, который характеризует </w:t>
            </w:r>
            <w:proofErr w:type="spellStart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взыск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ваемость</w:t>
            </w:r>
            <w:proofErr w:type="spellEnd"/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назначенных судом штрафов.</w:t>
            </w:r>
          </w:p>
          <w:p w:rsidR="00E13672" w:rsidRPr="00EB193D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10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B193D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56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56673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1130299202 0000130</w:t>
            </w:r>
          </w:p>
        </w:tc>
        <w:tc>
          <w:tcPr>
            <w:tcW w:w="3402" w:type="dxa"/>
            <w:vAlign w:val="center"/>
          </w:tcPr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ко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пенсации затрат бюджетов субъектов РФ</w:t>
            </w:r>
          </w:p>
        </w:tc>
        <w:tc>
          <w:tcPr>
            <w:tcW w:w="1418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по данному виду неналоговых доходов определяется методом прямого расч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та в отношении каждого арендатора имущества, находящегося в операти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управлении казенных учрежд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ний, с которым на момент составления прогноза заключен договор на возм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щение эксплуатационных расходов.</w:t>
            </w:r>
          </w:p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Расчет плановых поступлений на пе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вый год планового периода произв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дится на основе ожидаемых поступл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ний за отчетный год с учетом закл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ченных договоров на возмещение эк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плуатационных расходов и утве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жденных тарифов на коммунальные услуги. Прогноз на второй и третий год планового периода определяется на основании заключенных договоров на возмещение эксплуатационных ра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ходов с учетом повышения тарифов за коммунальные услуги в среднем на 5%.</w:t>
            </w:r>
          </w:p>
          <w:p w:rsidR="00E13672" w:rsidRPr="0056673C" w:rsidRDefault="00E13672" w:rsidP="00624471">
            <w:pPr>
              <w:tabs>
                <w:tab w:val="left" w:pos="709"/>
                <w:tab w:val="left" w:pos="2880"/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11 </w:t>
            </w:r>
            <w:r w:rsidR="00704A8F" w:rsidRPr="0056673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 w:rsidRPr="005667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8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56673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1170502002 0000180</w:t>
            </w:r>
          </w:p>
        </w:tc>
        <w:tc>
          <w:tcPr>
            <w:tcW w:w="3402" w:type="dxa"/>
            <w:vAlign w:val="center"/>
          </w:tcPr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субъекта РФ</w:t>
            </w:r>
          </w:p>
        </w:tc>
        <w:tc>
          <w:tcPr>
            <w:tcW w:w="1418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DB7C0F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По данному коду доходов в областной бюджет Новосибирской области пр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гнозируется поступление денежных средств от реализации древесины в соответствии с постановлением Пр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вительства Новосибирской области от 01.04.2015 № 112-рп «Об утверждении Правил реализации древесины, кот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рая получена в результате рубки дер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вьев, расположенных на земельных участках, находящихся в госуда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 Новосиби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ской области и предоставленных гражданам или юридическим лицам для строительства».</w:t>
            </w:r>
            <w:proofErr w:type="gramEnd"/>
            <w:r w:rsidRPr="00DB7C0F">
              <w:rPr>
                <w:rFonts w:ascii="Times New Roman" w:hAnsi="Times New Roman" w:cs="Times New Roman"/>
                <w:sz w:val="24"/>
                <w:szCs w:val="24"/>
              </w:rPr>
              <w:t xml:space="preserve"> Расчет плановых поступлений на первый год планового 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 осуществляется на основе среднего значения фактического п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ступления средств от реализации др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весины за 3 года (включая ожидаемое за отчетный год) умноженного на ма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 xml:space="preserve">симальный индекс уровня </w:t>
            </w:r>
            <w:proofErr w:type="gramStart"/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инфляции</w:t>
            </w:r>
            <w:proofErr w:type="gramEnd"/>
            <w:r w:rsidRPr="00DB7C0F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финансовый год, устано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ленный в федеральном законе о фед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ральном бюджете на текущий фина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совый год. Прогноз на второй и третий год планового периода определяются как величина прогноза, скорректир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ванная на индекс уровня инфляции, определенного федеральным законом о федеральном бюджете.</w:t>
            </w:r>
          </w:p>
          <w:p w:rsidR="00E13672" w:rsidRPr="00DB7C0F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12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7C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1130199202 0000130</w:t>
            </w:r>
          </w:p>
        </w:tc>
        <w:tc>
          <w:tcPr>
            <w:tcW w:w="3402" w:type="dxa"/>
            <w:vAlign w:val="center"/>
          </w:tcPr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телями средств бюджетов субъектов РФ</w:t>
            </w:r>
          </w:p>
        </w:tc>
        <w:tc>
          <w:tcPr>
            <w:tcW w:w="1418" w:type="dxa"/>
            <w:vAlign w:val="center"/>
          </w:tcPr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0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0B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0B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0B4264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По данному коду доходов в областной бюджет Новосибирской области пр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 xml:space="preserve">гнозируется поступление денежных средств от 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имущества го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ударственным казенным учреждением Новосибирской области «Фонд им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 Новосибирской области» по договорам-поручениям сторонних о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осуществляемой им в соо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B4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действующим уставо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proofErr w:type="gramEnd"/>
          </w:p>
          <w:p w:rsidR="00E13672" w:rsidRPr="000B4264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Расчет плановых поступлений на пе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вый год планового периода осущест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ляется на основе среднего значения фактического поступления средств от реализации имущества по договорам-поручениям за 3 года (включая ожид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 xml:space="preserve">емое за отчетный год) умноженного на максимальный индекс уровня </w:t>
            </w:r>
            <w:proofErr w:type="gramStart"/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инфл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End"/>
            <w:r w:rsidRPr="000B4264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финансовый год, 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установленный в федеральном законе о федеральном бюджете на текущий финансовый год. Прогноз на второй и третий год планового периода опред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ляются как величина прогноза, ско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ректированная на индекс уровня и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фляции, определенного федеральным законом о федеральном бюджете.</w:t>
            </w:r>
          </w:p>
          <w:p w:rsidR="00E13672" w:rsidRPr="000B4264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13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1140202202 0000440</w:t>
            </w:r>
          </w:p>
        </w:tc>
        <w:tc>
          <w:tcPr>
            <w:tcW w:w="3402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находящегося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в опер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тивном управлении учрежд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ний, находящихся в ведении органов государственной вл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сти субъектов Российской Ф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дерации (за исключением имущества бюджетных и 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Федерации), в части реализации матер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альных запасов по указанному имуществу</w:t>
            </w:r>
          </w:p>
        </w:tc>
        <w:tc>
          <w:tcPr>
            <w:tcW w:w="1418" w:type="dxa"/>
            <w:vAlign w:val="center"/>
          </w:tcPr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0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0B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0B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33640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9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AD7985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коду доходов в областной бюджет </w:t>
            </w:r>
            <w:proofErr w:type="gramStart"/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gramEnd"/>
            <w:r w:rsidRPr="000C0F4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пр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гнозируется поступление денежных средств:</w:t>
            </w:r>
          </w:p>
          <w:p w:rsidR="00E13672" w:rsidRPr="000C0F46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- от реализации государственным к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зенным учреждением Новосибирской области «Фонд имущества Новосиби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ской области» металлолома, получе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ного от разбора непригодных для и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пользования по причине износа и сп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санных автотранспортных средств, п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реданных от государственных учр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ждений Новосибирской области;</w:t>
            </w:r>
          </w:p>
          <w:p w:rsidR="00E13672" w:rsidRPr="000C0F46" w:rsidRDefault="00E13672" w:rsidP="006244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реализации автотранспортных средств, переданных в государстве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казенное учреждение Новосиби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 «Фонд имущества Нов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сибирской области» от государстве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Новосибирской обл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сти.</w:t>
            </w:r>
          </w:p>
          <w:p w:rsidR="00E13672" w:rsidRPr="000C0F46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Расчет плановых поступлений на пе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вый год планового периода осущест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 xml:space="preserve">ляется на основе среднего значения фактического поступления средств от реализации металлолома и реализации автотранспортных средств за 3 года 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(включая ожидаемое за отчетный год) умноженного на максимальный индекс уровня </w:t>
            </w:r>
            <w:proofErr w:type="gramStart"/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инфляции</w:t>
            </w:r>
            <w:proofErr w:type="gramEnd"/>
            <w:r w:rsidRPr="000C0F46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фина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совый год, установленный в федерал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ном законе о федеральном бюджете на текущий финансовый год. Прогноз на второй и третий год планового пери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да определяются как величина прогн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за, скорректированная на индекс уро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ня инфляции, определенного фед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ральным законом о федеральном бю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жете.</w:t>
            </w:r>
          </w:p>
          <w:p w:rsidR="00E13672" w:rsidRPr="000C0F46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14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  <w:vAlign w:val="center"/>
          </w:tcPr>
          <w:p w:rsidR="00E13672" w:rsidRPr="00C150F3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C150F3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C150F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56673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1110507202 0000120</w:t>
            </w:r>
          </w:p>
        </w:tc>
        <w:tc>
          <w:tcPr>
            <w:tcW w:w="3402" w:type="dxa"/>
            <w:vAlign w:val="center"/>
          </w:tcPr>
          <w:p w:rsidR="00E13672" w:rsidRPr="0056673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418" w:type="dxa"/>
            <w:vAlign w:val="center"/>
          </w:tcPr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C150F3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по данному виду неналоговых доходов определяется методом прямого расч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та в отношении каждого арендатора имущества, оборудования, передато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ных устройств и другого движимого имущества, находящегося в казне, с которым на момент составления пр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гноза заключен договор аренды.</w:t>
            </w:r>
          </w:p>
          <w:p w:rsidR="00E13672" w:rsidRPr="00C150F3" w:rsidRDefault="00E13672" w:rsidP="00624471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пр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изводится на основе ожидаемых п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ступлений за отчетный год с учетом заключенных договоров аренды и ст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вок арендной платы, рассчитанных в соответствии с Порядком определения размера арендной платы за пользов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ние имуществом, находящимся в гос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дарственной собственности Новос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бирской области, предоставленным в аренду в соответствии с постановл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нием Правительства Новосибирской области от 16.04.2019 № 147-п.</w:t>
            </w:r>
            <w:proofErr w:type="gramEnd"/>
          </w:p>
          <w:p w:rsidR="00E13672" w:rsidRPr="00C150F3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расчета прогнозных поступл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0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в приложении № </w:t>
            </w:r>
            <w:r w:rsidRPr="00AB585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AB585A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vAlign w:val="center"/>
          </w:tcPr>
          <w:p w:rsidR="00E13672" w:rsidRPr="00AA6C28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t>1110532202 0000120</w:t>
            </w:r>
          </w:p>
        </w:tc>
        <w:tc>
          <w:tcPr>
            <w:tcW w:w="3402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ключенным органами испо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нительной власти субъектов Российской Федерации, гос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дарственными или муниц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пальными предприятиями л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бо государственными или 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ниципальными учреждениями в отношении земельных участков, находящихся в со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ственности субъектов Росси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418" w:type="dxa"/>
            <w:vAlign w:val="center"/>
          </w:tcPr>
          <w:p w:rsidR="00E13672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4B028B" w:rsidRDefault="0033640B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0B4264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Расчет поступлений по данному виду доходов осуществляется в отношении земельных участков, находящихся в государственной собственности Нов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сибирской области, в отношении кот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рых заключены соглашения об уст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новлении сервитута.</w:t>
            </w:r>
          </w:p>
          <w:p w:rsidR="00E13672" w:rsidRPr="000B4264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Расчет плановых поступлений на пе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вый год планового периода осущест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 xml:space="preserve">ляется на основе среднего значения фактического поступления средств от установления сервитута за 3 года (включая ожидаемое за отчетный год) умноженного на максимальный индекс уровня </w:t>
            </w:r>
            <w:proofErr w:type="gramStart"/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инфляции</w:t>
            </w:r>
            <w:proofErr w:type="gramEnd"/>
            <w:r w:rsidRPr="000B4264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фина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совый год, установленный в федерал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ном законе о федеральном бюджете на текущий финансовый год. Прогноз на второй и третий год планового пери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да определяются как величина прогн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за, скорректированная на индекс уро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ня инфляции, определенного фед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ральным законом о федеральном бю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жете.</w:t>
            </w:r>
          </w:p>
          <w:p w:rsidR="00E13672" w:rsidRPr="000B4264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 xml:space="preserve">дена в приложении № 16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3672" w:rsidRPr="004B028B" w:rsidTr="008A58B5">
        <w:tc>
          <w:tcPr>
            <w:tcW w:w="534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E13672" w:rsidRPr="00F5644C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мент им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щества и земельных отношений </w:t>
            </w: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t>бирской</w:t>
            </w:r>
            <w:proofErr w:type="gramEnd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vAlign w:val="center"/>
          </w:tcPr>
          <w:p w:rsidR="00E13672" w:rsidRPr="00AA6C28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1110502604 0000120</w:t>
            </w:r>
          </w:p>
        </w:tc>
        <w:tc>
          <w:tcPr>
            <w:tcW w:w="3402" w:type="dxa"/>
            <w:vAlign w:val="center"/>
          </w:tcPr>
          <w:p w:rsidR="00E13672" w:rsidRPr="00F5644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44C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от 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доходов, получаемых в виде арендной платы за земельные участки, которые расположены в гр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ницах городских округов, находятся в федеральной со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ственности и осуществление полномочий по управлению и распоряжению которыми п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редано органам государстве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ной власти </w:t>
            </w:r>
            <w:r w:rsidRPr="00AB585A">
              <w:rPr>
                <w:rFonts w:ascii="Times New Roman" w:hAnsi="Times New Roman" w:cs="Times New Roman"/>
                <w:sz w:val="24"/>
                <w:szCs w:val="24"/>
              </w:rPr>
              <w:t>субъектов Росси</w:t>
            </w:r>
            <w:r w:rsidRPr="00AB58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585A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Федерации, а также 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ства от продажи права на з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ключение договоров аренды указанных земельных учас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</w:t>
            </w:r>
            <w:r w:rsidRPr="00F564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ков</w:t>
            </w:r>
            <w:proofErr w:type="gramEnd"/>
          </w:p>
        </w:tc>
        <w:tc>
          <w:tcPr>
            <w:tcW w:w="1418" w:type="dxa"/>
            <w:vAlign w:val="center"/>
          </w:tcPr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</w:p>
          <w:p w:rsidR="00E13672" w:rsidRPr="00ED3DC5" w:rsidRDefault="00E13672" w:rsidP="00B3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C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708" w:type="dxa"/>
            <w:vAlign w:val="center"/>
          </w:tcPr>
          <w:p w:rsidR="00E13672" w:rsidRPr="004B028B" w:rsidRDefault="00E13672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3" w:type="dxa"/>
            <w:vAlign w:val="center"/>
          </w:tcPr>
          <w:p w:rsidR="00E13672" w:rsidRPr="00F268D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Расчет прогнозных поступлений по данному виду неналоговых доходов определяется методом прямого расч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та в отношении каждого арендатора имущества, находящегося в федерал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ной собственности и преданного для осуществления полномочий по упра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лению и распоряжению Новосиби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ской области, с которым на момент составления прогноза заключен дог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вор аренды, либо договор уже ра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торгнут, но имеется задолженность по арендной плате.</w:t>
            </w:r>
            <w:proofErr w:type="gramEnd"/>
          </w:p>
          <w:p w:rsidR="00E13672" w:rsidRPr="00F268D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Расчет плановых поступле</w:t>
            </w:r>
            <w:r w:rsidR="0033640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 xml:space="preserve"> на пе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вый год планового периода осущест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ляется на основе ожидаемого посту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33640B">
              <w:rPr>
                <w:rFonts w:ascii="Times New Roman" w:hAnsi="Times New Roman" w:cs="Times New Roman"/>
                <w:sz w:val="24"/>
                <w:szCs w:val="24"/>
              </w:rPr>
              <w:t>ия за отчетный год умноженного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 xml:space="preserve"> на максималь</w:t>
            </w:r>
            <w:r w:rsidR="0033640B">
              <w:rPr>
                <w:rFonts w:ascii="Times New Roman" w:hAnsi="Times New Roman" w:cs="Times New Roman"/>
                <w:sz w:val="24"/>
                <w:szCs w:val="24"/>
              </w:rPr>
              <w:t>ный индекс уровня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 xml:space="preserve"> инфл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ции на текущий финансовый год, установленный в федеральном законе о федеральном бюджете на текущий финансовый год. Прогноз на второй и третий год планового периода опред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ляются как величина прогноза, ско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ректированная на индекс уровня и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фляции, определенного федеральным законом о федеральном бюджете на текущий финансовый год.</w:t>
            </w:r>
          </w:p>
          <w:p w:rsidR="00E13672" w:rsidRPr="00F268D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 по догов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рам, срок действия которых закончи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ся до момента составления прогноза, планируется в размере суммы осно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ного долга без учета пени и неустоек.</w:t>
            </w:r>
          </w:p>
          <w:p w:rsidR="00E13672" w:rsidRPr="00F268DC" w:rsidRDefault="00E13672" w:rsidP="0062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Форма расчета прогнозных поступл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ний по данному виду доходов прив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8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в приложении № 17 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04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13672" w:rsidRPr="004B028B" w:rsidRDefault="0033640B" w:rsidP="00B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:rsidR="004549EE" w:rsidRDefault="004549EE" w:rsidP="00F023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4549EE" w:rsidSect="009C709D">
      <w:pgSz w:w="16838" w:h="11906" w:orient="landscape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D4"/>
    <w:rsid w:val="000037DD"/>
    <w:rsid w:val="000044E6"/>
    <w:rsid w:val="00031146"/>
    <w:rsid w:val="000B4264"/>
    <w:rsid w:val="000C0F46"/>
    <w:rsid w:val="0015203D"/>
    <w:rsid w:val="0022423A"/>
    <w:rsid w:val="00242FC8"/>
    <w:rsid w:val="002A4199"/>
    <w:rsid w:val="002C1D83"/>
    <w:rsid w:val="00300CC2"/>
    <w:rsid w:val="0031000C"/>
    <w:rsid w:val="0033640B"/>
    <w:rsid w:val="003B396C"/>
    <w:rsid w:val="003E64EB"/>
    <w:rsid w:val="00405CC4"/>
    <w:rsid w:val="004116DE"/>
    <w:rsid w:val="00433CC9"/>
    <w:rsid w:val="004549EE"/>
    <w:rsid w:val="004641CE"/>
    <w:rsid w:val="004700F4"/>
    <w:rsid w:val="004742F8"/>
    <w:rsid w:val="00485B1D"/>
    <w:rsid w:val="004900A5"/>
    <w:rsid w:val="004B028B"/>
    <w:rsid w:val="004F10C6"/>
    <w:rsid w:val="00537CF3"/>
    <w:rsid w:val="0056673C"/>
    <w:rsid w:val="00576832"/>
    <w:rsid w:val="005A47AF"/>
    <w:rsid w:val="005A6C67"/>
    <w:rsid w:val="005D1F75"/>
    <w:rsid w:val="005F13A3"/>
    <w:rsid w:val="006143ED"/>
    <w:rsid w:val="00624471"/>
    <w:rsid w:val="006A1F38"/>
    <w:rsid w:val="006C0D09"/>
    <w:rsid w:val="00704A8F"/>
    <w:rsid w:val="007240DC"/>
    <w:rsid w:val="007921D2"/>
    <w:rsid w:val="00793A9F"/>
    <w:rsid w:val="007B38F6"/>
    <w:rsid w:val="007C52D4"/>
    <w:rsid w:val="007F4D95"/>
    <w:rsid w:val="008171C1"/>
    <w:rsid w:val="00825AEA"/>
    <w:rsid w:val="0083102B"/>
    <w:rsid w:val="00840958"/>
    <w:rsid w:val="00850436"/>
    <w:rsid w:val="008A58B5"/>
    <w:rsid w:val="008B0E24"/>
    <w:rsid w:val="008B1768"/>
    <w:rsid w:val="008C06D8"/>
    <w:rsid w:val="008C726A"/>
    <w:rsid w:val="008E7264"/>
    <w:rsid w:val="00931222"/>
    <w:rsid w:val="009A6C12"/>
    <w:rsid w:val="009C709D"/>
    <w:rsid w:val="009D0F58"/>
    <w:rsid w:val="009F6C1F"/>
    <w:rsid w:val="00A65372"/>
    <w:rsid w:val="00A77F4C"/>
    <w:rsid w:val="00AA6C28"/>
    <w:rsid w:val="00AB585A"/>
    <w:rsid w:val="00AD2790"/>
    <w:rsid w:val="00AD7985"/>
    <w:rsid w:val="00AE409C"/>
    <w:rsid w:val="00B37BA9"/>
    <w:rsid w:val="00B62B06"/>
    <w:rsid w:val="00BB70B3"/>
    <w:rsid w:val="00C06FD9"/>
    <w:rsid w:val="00C150F3"/>
    <w:rsid w:val="00C6427A"/>
    <w:rsid w:val="00C755F0"/>
    <w:rsid w:val="00C92C31"/>
    <w:rsid w:val="00D12D9E"/>
    <w:rsid w:val="00D90AFD"/>
    <w:rsid w:val="00DB3F94"/>
    <w:rsid w:val="00DB7C0F"/>
    <w:rsid w:val="00DC6122"/>
    <w:rsid w:val="00E13672"/>
    <w:rsid w:val="00E22F93"/>
    <w:rsid w:val="00E242C9"/>
    <w:rsid w:val="00E303D5"/>
    <w:rsid w:val="00EB193D"/>
    <w:rsid w:val="00ED3DC5"/>
    <w:rsid w:val="00F023B1"/>
    <w:rsid w:val="00F268DC"/>
    <w:rsid w:val="00F376D4"/>
    <w:rsid w:val="00F54243"/>
    <w:rsid w:val="00F5644C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2402-ED03-42AC-B14F-C8D1D9D3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19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Мигачева Елена Михайловна</dc:creator>
  <cp:keywords/>
  <dc:description/>
  <cp:lastModifiedBy>Мигачева Елена Михайловна</cp:lastModifiedBy>
  <cp:revision>39</cp:revision>
  <dcterms:created xsi:type="dcterms:W3CDTF">2022-05-11T09:15:00Z</dcterms:created>
  <dcterms:modified xsi:type="dcterms:W3CDTF">2022-06-08T02:26:00Z</dcterms:modified>
</cp:coreProperties>
</file>