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right="0"/>
        <w:jc w:val="righ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роект постановления</w:t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</w:t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внесении изменений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постановление Правительства Новосибирской области </w:t>
      </w:r>
      <w:r/>
    </w:p>
    <w:p>
      <w:pPr>
        <w:pStyle w:val="61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4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-п</w:t>
      </w:r>
      <w:r>
        <w:rPr>
          <w:bCs/>
          <w:sz w:val="28"/>
          <w:szCs w:val="28"/>
        </w:rPr>
      </w:r>
      <w:r/>
    </w:p>
    <w:p>
      <w:pPr>
        <w:pStyle w:val="61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1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15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6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Новосибирской области от 20.10.2014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415-п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министерстве жилищно-коммунального хозяйства и энергетики Новосибирской области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/>
    </w:p>
    <w:p>
      <w:pPr>
        <w:pStyle w:val="61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Положение о министерстве жилищно-коммунального хозяйства и энергетики Новосибирской области:</w:t>
      </w:r>
      <w:r/>
    </w:p>
    <w:p>
      <w:pPr>
        <w:pStyle w:val="6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пункт 24.11. следующего содержания:</w:t>
      </w:r>
      <w:r/>
    </w:p>
    <w:p>
      <w:pPr>
        <w:pStyle w:val="6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«24.12.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Осуществляет подготовку </w:t>
      </w:r>
      <w:r>
        <w:rPr>
          <w:sz w:val="28"/>
          <w:szCs w:val="28"/>
        </w:rPr>
        <w:t xml:space="preserve">исходны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технически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услови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) для разработки мероприятий по гражданской обороне, мероприятий по предупреждению чрезвычайных ситуаций природного и техногенного характера</w:t>
      </w:r>
      <w:r>
        <w:rPr>
          <w:sz w:val="28"/>
          <w:szCs w:val="28"/>
        </w:rPr>
        <w:t xml:space="preserve">.».</w:t>
      </w:r>
      <w:r/>
    </w:p>
    <w:p>
      <w:pPr>
        <w:pStyle w:val="6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15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jc w:val="both"/>
        <w:tabs>
          <w:tab w:val="left" w:pos="720" w:leader="none"/>
        </w:tabs>
        <w:rPr>
          <w:szCs w:val="20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Травников</w:t>
      </w:r>
      <w:r>
        <w:rPr>
          <w:szCs w:val="20"/>
        </w:rPr>
      </w:r>
      <w:r/>
    </w:p>
    <w:p>
      <w:pPr>
        <w:pStyle w:val="615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15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Д.Н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Архипов</w:t>
      </w:r>
      <w:r>
        <w:rPr>
          <w:sz w:val="20"/>
          <w:szCs w:val="20"/>
        </w:rPr>
      </w:r>
      <w:r/>
    </w:p>
    <w:p>
      <w:pPr>
        <w:pStyle w:val="6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56</w:t>
      </w: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</w:r>
      <w:r/>
    </w:p>
    <w:p>
      <w:pPr>
        <w:pStyle w:val="61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5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/>
    </w:p>
    <w:p>
      <w:pPr>
        <w:pStyle w:val="6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080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42"/>
        <w:gridCol w:w="2418"/>
        <w:gridCol w:w="2520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27"/>
              <w:ind w:firstLine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политики Новосибирской области </w:t>
            </w:r>
            <w:r>
              <w:rPr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5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color w:val="ff000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27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7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жилищно-коммунального хозяйства и энергетики 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</w:r>
            <w:r/>
          </w:p>
          <w:p>
            <w:pPr>
              <w:pStyle w:val="615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Начальник Главного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управления </w:t>
            </w:r>
            <w:r/>
          </w:p>
          <w:p>
            <w:pPr>
              <w:pStyle w:val="615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МЧС России по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27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jc w:val="right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В.В. Орлов</w:t>
            </w:r>
            <w:r>
              <w:rPr>
                <w:color w:val="000000"/>
                <w:spacing w:val="-2"/>
                <w:sz w:val="28"/>
                <w:szCs w:val="28"/>
              </w:rPr>
            </w:r>
            <w:r/>
          </w:p>
        </w:tc>
      </w:tr>
      <w:tr>
        <w:trPr>
          <w:trHeight w:val="74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2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627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15"/>
              <w:jc w:val="right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</w:r>
            <w:r/>
          </w:p>
        </w:tc>
      </w:tr>
    </w:tbl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tbl>
      <w:tblPr>
        <w:tblpPr w:horzAnchor="margin" w:tblpXSpec="left" w:vertAnchor="text" w:tblpYSpec="inside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9"/>
        <w:gridCol w:w="992"/>
        <w:gridCol w:w="1627"/>
      </w:tblGrid>
      <w:tr>
        <w:trPr>
          <w:trHeight w:val="61"/>
        </w:trPr>
        <w:tc>
          <w:tcPr>
            <w:tcW w:w="3539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  <w:t xml:space="preserve">Ф.И.О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  <w:t xml:space="preserve">Дата</w:t>
            </w:r>
            <w:r/>
          </w:p>
        </w:tc>
        <w:tc>
          <w:tcPr>
            <w:tcW w:w="1627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  <w:t xml:space="preserve">Подпись</w:t>
            </w:r>
            <w:r/>
          </w:p>
        </w:tc>
      </w:tr>
      <w:tr>
        <w:trPr>
          <w:trHeight w:val="61"/>
        </w:trPr>
        <w:tc>
          <w:tcPr>
            <w:tcW w:w="3539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  <w:t xml:space="preserve">Заместитель начальника управления по предупреждению ЧС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627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61"/>
        </w:trPr>
        <w:tc>
          <w:tcPr>
            <w:tcW w:w="3539" w:type="dxa"/>
            <w:vAlign w:val="center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bCs/>
                <w:sz w:val="20"/>
                <w:szCs w:val="20"/>
              </w:rPr>
              <w:t xml:space="preserve">Консультант (юрист) отдела </w:t>
            </w:r>
            <w:r>
              <w:rPr>
                <w:sz w:val="20"/>
                <w:szCs w:val="20"/>
              </w:rPr>
              <w:t xml:space="preserve">организационно-правового и кадрового обеспечения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627" w:type="dxa"/>
            <w:vAlign w:val="top"/>
            <w:textDirection w:val="lrTb"/>
            <w:noWrap w:val="false"/>
          </w:tcPr>
          <w:p>
            <w:pPr>
              <w:pStyle w:val="615"/>
              <w:jc w:val="center"/>
              <w:rPr>
                <w:sz w:val="20"/>
                <w:szCs w:val="20"/>
              </w:rPr>
              <w:framePr w:hSpace="180" w:wrap="around" w:vAnchor="text" w:hAnchor="margin" w:yAlign="inside"/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А.</w:t>
      </w:r>
      <w:r>
        <w:rPr>
          <w:rFonts w:cs="Arial"/>
          <w:sz w:val="20"/>
          <w:szCs w:val="20"/>
        </w:rPr>
        <w:t xml:space="preserve">Н.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Матюхин</w:t>
      </w:r>
      <w:r>
        <w:rPr>
          <w:rFonts w:cs="Arial"/>
          <w:sz w:val="20"/>
          <w:szCs w:val="20"/>
        </w:rPr>
      </w:r>
      <w:r/>
    </w:p>
    <w:p>
      <w:pPr>
        <w:pStyle w:val="615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</w:t>
      </w:r>
      <w:r>
        <w:rPr>
          <w:rFonts w:cs="Arial"/>
          <w:sz w:val="20"/>
          <w:szCs w:val="20"/>
        </w:rPr>
        <w:t xml:space="preserve">18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22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00</w:t>
      </w:r>
      <w:r/>
    </w:p>
    <w:sectPr>
      <w:headerReference w:type="even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1"/>
      <w:rPr>
        <w:rStyle w:val="622"/>
      </w:rPr>
      <w:framePr w:wrap="around" w:vAnchor="text" w:hAnchor="margin" w:xAlign="center" w:y="1"/>
    </w:pPr>
    <w:r>
      <w:rPr>
        <w:rStyle w:val="622"/>
      </w:rPr>
      <w:fldChar w:fldCharType="begin"/>
    </w:r>
    <w:r>
      <w:rPr>
        <w:rStyle w:val="622"/>
      </w:rPr>
      <w:instrText xml:space="preserve">PAGE  </w:instrText>
    </w:r>
    <w:r>
      <w:rPr>
        <w:rStyle w:val="622"/>
      </w:rPr>
      <w:fldChar w:fldCharType="end"/>
    </w:r>
    <w:r>
      <w:rPr>
        <w:rStyle w:val="622"/>
      </w:rPr>
    </w:r>
    <w:r/>
  </w:p>
  <w:p>
    <w:pPr>
      <w:pStyle w:val="6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5"/>
    <w:next w:val="6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next w:val="615"/>
    <w:link w:val="615"/>
    <w:qFormat/>
    <w:rPr>
      <w:sz w:val="24"/>
      <w:szCs w:val="24"/>
      <w:lang w:val="ru-RU" w:eastAsia="ru-RU" w:bidi="ar-SA"/>
    </w:rPr>
  </w:style>
  <w:style w:type="paragraph" w:styleId="616">
    <w:name w:val="Заголовок 1"/>
    <w:basedOn w:val="615"/>
    <w:next w:val="615"/>
    <w:link w:val="615"/>
    <w:qFormat/>
    <w:pPr>
      <w:jc w:val="center"/>
      <w:keepNext/>
      <w:shd w:val="clear" w:color="auto" w:fill="ffffff"/>
      <w:outlineLvl w:val="0"/>
    </w:pPr>
    <w:rPr>
      <w:bCs/>
      <w:sz w:val="28"/>
      <w:szCs w:val="28"/>
    </w:rPr>
  </w:style>
  <w:style w:type="character" w:styleId="617">
    <w:name w:val="Основной шрифт абзаца"/>
    <w:next w:val="617"/>
    <w:link w:val="615"/>
    <w:semiHidden/>
  </w:style>
  <w:style w:type="table" w:styleId="618">
    <w:name w:val="Обычная таблица"/>
    <w:next w:val="618"/>
    <w:link w:val="615"/>
    <w:semiHidden/>
    <w:tblPr/>
  </w:style>
  <w:style w:type="numbering" w:styleId="619">
    <w:name w:val="Нет списка"/>
    <w:next w:val="619"/>
    <w:link w:val="615"/>
    <w:semiHidden/>
  </w:style>
  <w:style w:type="table" w:styleId="620">
    <w:name w:val="Сетка таблицы"/>
    <w:basedOn w:val="618"/>
    <w:next w:val="620"/>
    <w:link w:val="615"/>
    <w:tblPr/>
  </w:style>
  <w:style w:type="paragraph" w:styleId="621">
    <w:name w:val="Верхний колонтитул"/>
    <w:basedOn w:val="615"/>
    <w:next w:val="621"/>
    <w:link w:val="615"/>
    <w:pPr>
      <w:tabs>
        <w:tab w:val="center" w:pos="4677" w:leader="none"/>
        <w:tab w:val="right" w:pos="9355" w:leader="none"/>
      </w:tabs>
    </w:pPr>
  </w:style>
  <w:style w:type="character" w:styleId="622">
    <w:name w:val="Номер страницы"/>
    <w:basedOn w:val="617"/>
    <w:next w:val="622"/>
    <w:link w:val="615"/>
  </w:style>
  <w:style w:type="paragraph" w:styleId="623">
    <w:name w:val="Нижний колонтитул"/>
    <w:basedOn w:val="615"/>
    <w:next w:val="623"/>
    <w:link w:val="615"/>
    <w:pPr>
      <w:tabs>
        <w:tab w:val="center" w:pos="4677" w:leader="none"/>
        <w:tab w:val="right" w:pos="9355" w:leader="none"/>
      </w:tabs>
    </w:pPr>
  </w:style>
  <w:style w:type="paragraph" w:styleId="624">
    <w:name w:val="Знак Знак1 Знак"/>
    <w:basedOn w:val="615"/>
    <w:next w:val="624"/>
    <w:link w:val="615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625">
    <w:name w:val="ConsPlusNormal"/>
    <w:next w:val="625"/>
    <w:link w:val="61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26">
    <w:name w:val="ConsTitle"/>
    <w:next w:val="626"/>
    <w:link w:val="615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627">
    <w:name w:val="ConsNormal"/>
    <w:next w:val="627"/>
    <w:link w:val="615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28">
    <w:name w:val="Текст выноски"/>
    <w:basedOn w:val="615"/>
    <w:next w:val="628"/>
    <w:link w:val="615"/>
    <w:semiHidden/>
    <w:rPr>
      <w:rFonts w:ascii="Tahoma" w:hAnsi="Tahoma" w:cs="Tahoma"/>
      <w:sz w:val="16"/>
      <w:szCs w:val="16"/>
    </w:rPr>
  </w:style>
  <w:style w:type="character" w:styleId="629">
    <w:name w:val="Знак примечания"/>
    <w:next w:val="629"/>
    <w:link w:val="615"/>
    <w:rPr>
      <w:sz w:val="16"/>
      <w:szCs w:val="16"/>
    </w:rPr>
  </w:style>
  <w:style w:type="paragraph" w:styleId="630">
    <w:name w:val="Текст примечания"/>
    <w:basedOn w:val="615"/>
    <w:next w:val="630"/>
    <w:link w:val="631"/>
    <w:rPr>
      <w:sz w:val="20"/>
      <w:szCs w:val="20"/>
    </w:rPr>
  </w:style>
  <w:style w:type="character" w:styleId="631">
    <w:name w:val="Текст примечания Знак"/>
    <w:basedOn w:val="617"/>
    <w:next w:val="631"/>
    <w:link w:val="630"/>
  </w:style>
  <w:style w:type="paragraph" w:styleId="632">
    <w:name w:val="Тема примечания"/>
    <w:basedOn w:val="630"/>
    <w:next w:val="630"/>
    <w:link w:val="633"/>
    <w:rPr>
      <w:b/>
      <w:bCs/>
    </w:rPr>
  </w:style>
  <w:style w:type="character" w:styleId="633">
    <w:name w:val="Тема примечания Знак"/>
    <w:next w:val="633"/>
    <w:link w:val="632"/>
    <w:rPr>
      <w:b/>
      <w:bCs/>
    </w:rPr>
  </w:style>
  <w:style w:type="character" w:styleId="1446" w:default="1">
    <w:name w:val="Default Paragraph Font"/>
    <w:uiPriority w:val="1"/>
    <w:semiHidden/>
    <w:unhideWhenUsed/>
  </w:style>
  <w:style w:type="numbering" w:styleId="1447" w:default="1">
    <w:name w:val="No List"/>
    <w:uiPriority w:val="99"/>
    <w:semiHidden/>
    <w:unhideWhenUsed/>
  </w:style>
  <w:style w:type="table" w:styleId="14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ugochs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GO</dc:creator>
  <cp:revision>5</cp:revision>
  <dcterms:created xsi:type="dcterms:W3CDTF">2023-04-10T09:20:00Z</dcterms:created>
  <dcterms:modified xsi:type="dcterms:W3CDTF">2023-08-23T04:54:03Z</dcterms:modified>
  <cp:version>1048576</cp:version>
</cp:coreProperties>
</file>