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left="5529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5669" w:righ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firstLine="0"/>
        <w:jc w:val="righ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ПОЛОЖЕНИЕ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0"/>
        <w:jc w:val="center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Координационном совете при Правительстве Новосибирской области </w:t>
        <w:br/>
        <w:t xml:space="preserve">по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вопросам развития сферы интеллектуальной собственности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0"/>
        <w:jc w:val="left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firstLine="0"/>
        <w:jc w:val="left"/>
        <w:spacing w:before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firstLine="0"/>
        <w:jc w:val="center"/>
        <w:spacing w:before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Общие положе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firstLine="0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 Координационный совет при Правительстве Новосибирской области </w:t>
        <w:br/>
        <w:t xml:space="preserve">по вопросам развития сферы интеллектуальной собственности (далее – Совет) является коллегиальным совещательным органом. Совет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создается </w:t>
        <w:br/>
        <w:t xml:space="preserve">для обеспечения взаимодействия патентных поверенных, представителей научных и образовательных учреждений Новосибирской области, региональных институтов развития и инновационной инфраструктуры, творческой общественности, непосредственно участвующ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в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оздании объектов авторских и смежных прав, </w:t>
        <w:br/>
        <w:t xml:space="preserve">в целях рассмотрения вопросов развития сферы интеллектуальной собственности </w:t>
        <w:br/>
        <w:t xml:space="preserve">на территории Новосибирской области и подготовки предложений, направленных на содействие развитию сферы интеллектуальной собственности.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Совет при осуществлении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Российской Федерации, Правительства Российской Федерации, Уставом Новосибирской области, законами Новосибирской области, постановлениями, распоряжениями Губернатора Новосибирской области и Правительства Новосибирской области, а также настоящим Положением.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ru-RU"/>
        </w:rPr>
        <w:t xml:space="preserve">II.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Основные задачи Совета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Основными задачами Совета являются: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взаимодействия патентных поверенных, представителей научных и образовательных учреждений Новосибирской области, региональных инстит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ов развития и инновационной инфраструктуры, творческой общественности, непосредственно участвующей в создании объектов авторских </w:t>
        <w:br/>
        <w:t xml:space="preserve">и смежных прав, направленного на содействие развитию сферы интеллектуальной собственности 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выявление и анализ проблем развития сферы интеллектуальной собственности на территории Новосибирской области, в том числе с учетом передового опыта субъектов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ru-RU"/>
        </w:rPr>
        <w:t xml:space="preserve">III.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Основные функции Совета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Совет осуществляет: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определение основных направлений развития сферы интеллектуальной собственности 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обсуждение проектов нормативных правовых актов, документов </w:t>
        <w:br/>
        <w:t xml:space="preserve">и информации, подготовленных в целях развития сферы интеллектуальной собственности 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рассмотрение предложений по мерам государственной поддержки, образовательным программам в сфере интеллектуальной собственности </w:t>
        <w:br/>
        <w:t xml:space="preserve">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рассмотрение и анализ результатов мониторинга состояния и развития сферы интеллектуальной собственности 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рассмотрение ежегодного доклада о состоянии сферы интеллектуальной собственности 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обсуждение предложений по улучшению деятельности в области сферы интеллектуальной собственности на территории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обсуждение по предложению иных вопросов, относящихся к повышению конкурентоспособности и роста капитализации организаций, осуществляющих деятельность  в сфере интеллектуальной собственности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ru-RU"/>
        </w:rPr>
        <w:t xml:space="preserve">IV.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Основные права Совета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5. Для осуществления своей деятельности Совет имеет право: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привлекать в установленном порядке для участия в работе Совета, а также приглашать на заседания Совета представителей территориальных органов федеральных органов исполнительной власти, органов государственной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асти Новосибирской области, органов местного самоуправления муниципальных образований Новосибирской области и иных организаций, а также экспертов </w:t>
        <w:br/>
        <w:t xml:space="preserve">и консультантов из числа ученых, предпринимателей, а также других специалистов, не являющихся членами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запрашивать в установленном порядке от территориальных органов федеральных органов 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сполнительной власти, органов государственной власти Новосибирской области и органов местного самоуправления муниципальных образований Новосибирской области относящиеся к целям и задачам Совета документы, информацию и материалы;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заслушивать на заседаниях Совета приглашенных лиц, не являющихся членами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создавать при Совете временные и постоянно действующие экспертные, консультативные рабочие группы.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left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lang w:eastAsia="ru-RU"/>
        </w:rPr>
        <w:t xml:space="preserve">V.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Порядок организации деятельности Совета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6. Положение о Совете и его персональный состав утверждаются постановлением Правительства Новосибирской области.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7. Совет состоит из председателя Совета, заместителя председателя Совета, секретаря Совета и членов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 Совет осуществляет свою деятельность на принципах равноправия </w:t>
        <w:br/>
        <w:t xml:space="preserve">его членов, коллегиальности принятия решения и гласности. Члены Совета исполняют свои обязанности на общественных началах.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9. Деятельностью Совета руководит председатель Совета. В отсутствии председателя Совета его полномочия осуществляет заместитель председателя Совета по поручению председателя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Председателем Совета яв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ляется заместитель Губернатора Новосибирской области, заместителем председателя Совета является министр науки </w:t>
        <w:br/>
        <w:t xml:space="preserve">и инновационной политики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10. Председатель Совета: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осуществляет общее руководство деятельностью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утверждает планы работы и повестки заседаний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ведет заседания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контролирует выполнение решений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вносит на обсуждение Совета вопросы, связанные с деятельностью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 определяет место и время проведения заседаний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 подписывает протокол заседания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11. Секретарь Совета: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 обеспечивает подготовку материалов к заседанию Совета, в том числе повестку заседания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информирует членов Совета, приглашенных и привлеченных лиц о дате, времени, месте проведения и повестке заседания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оформляет протоколы заседаний Совета;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обеспечивает ведение и сохранность документов, образующихся в результате деятельности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12. В случае отсутствия секретаря Совета его функции возлагаются председательствующим на заседании Совета на одного из членов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13. Заседания Совета проводятся по мере необходимости, но не реже одного раза в полугодие.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14. Заседания Совета считаются правомочными, если на них присутствует более половины членов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15. Члены Совета принимают участие в заседаниях Совета лично.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16. Решения Совета принимаются путем открытого голосования простым большинством голосов от числа присутствующих на заседании членов Совета </w:t>
        <w:br/>
        <w:t xml:space="preserve">и оформляются протоколом. При равенстве голосов решающим является голос председательствующего на заседании Совета.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17. Решения Совета носят рекомендательный характер.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18. Решения Совета в течение пяти рабочих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дней со дня проведения заседания Совета оформляются протоколом, который подписывается председательствующим на заседании Совета и секретарем Совета.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</w:r>
    </w:p>
    <w:p>
      <w:pPr>
        <w:spacing w:after="0" w:line="240" w:lineRule="auto"/>
        <w:tabs>
          <w:tab w:val="left" w:pos="1418" w:leader="none"/>
          <w:tab w:val="left" w:pos="184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center"/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/>
  </w:p>
  <w:p>
    <w:pPr>
      <w:pStyle w:val="72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726"/>
    <w:uiPriority w:val="99"/>
  </w:style>
  <w:style w:type="table" w:styleId="730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No Spacing"/>
    <w:basedOn w:val="874"/>
    <w:uiPriority w:val="1"/>
    <w:qFormat/>
    <w:pPr>
      <w:spacing w:after="0" w:line="240" w:lineRule="auto"/>
    </w:pPr>
  </w:style>
  <w:style w:type="paragraph" w:styleId="878">
    <w:name w:val="List Paragraph"/>
    <w:basedOn w:val="874"/>
    <w:uiPriority w:val="34"/>
    <w:qFormat/>
    <w:pPr>
      <w:contextualSpacing/>
      <w:ind w:left="720"/>
    </w:pPr>
  </w:style>
  <w:style w:type="character" w:styleId="879" w:default="1">
    <w:name w:val="Default Paragraph Font"/>
    <w:uiPriority w:val="1"/>
    <w:semiHidden/>
    <w:unhideWhenUsed/>
  </w:style>
  <w:style w:type="table" w:styleId="880" w:customStyle="1">
    <w:name w:val="Сетка таблицы1"/>
    <w:basedOn w:val="720"/>
    <w:next w:val="725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88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15</cp:revision>
  <dcterms:modified xsi:type="dcterms:W3CDTF">2024-04-03T08:47:13Z</dcterms:modified>
</cp:coreProperties>
</file>