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 w:firstLine="709"/>
        <w:jc w:val="center"/>
        <w:spacing w:after="0" w:afterAutospacing="0" w:line="240" w:lineRule="auto"/>
        <w:tabs>
          <w:tab w:val="left" w:pos="5954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 w:right="0" w:firstLine="14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 w:firstLine="709"/>
        <w:jc w:val="center"/>
        <w:spacing w:after="0" w:afterAutospacing="0" w:line="240" w:lineRule="auto"/>
        <w:tabs>
          <w:tab w:val="left" w:pos="5954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 w:firstLine="709"/>
        <w:jc w:val="center"/>
        <w:spacing w:after="0" w:afterAutospacing="0" w:line="240" w:lineRule="auto"/>
        <w:tabs>
          <w:tab w:val="left" w:pos="5954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 w:firstLine="709"/>
        <w:jc w:val="center"/>
        <w:spacing w:after="0" w:afterAutospacing="0" w:line="240" w:lineRule="auto"/>
        <w:tabs>
          <w:tab w:val="left" w:pos="5954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center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  <w:suppressLineNumbers w:val="0"/>
      </w:pPr>
      <w:r>
        <w:rPr>
          <w:highlight w:val="white"/>
        </w:rPr>
      </w:r>
      <w:bookmarkStart w:id="1" w:name="P33"/>
      <w:r>
        <w:rPr>
          <w:highlight w:val="white"/>
        </w:rPr>
      </w:r>
      <w:bookmarkEnd w:id="1"/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889"/>
        <w:ind w:firstLine="709"/>
        <w:jc w:val="center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определения объема 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предоставления субсидий некоммерческим организациям, не являющимся государств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енными (муниципальными) учреждениями, на оказание услуг в сфере социального обслуживания граждан в целях реализации пилотного проекта по созданию системы долговременного ухода за гражданами пожилого возраста и инвалидами на территории Новосибирской области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0"/>
        <w:ind w:firstLine="709"/>
        <w:jc w:val="center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1"/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I. Общие положения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 Настоящий Порядок разработан в соответствии со статьей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78.1 Бюджетного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азом Министерства труда и социальной защиты Российской Федерации от 27.12.2023 № 895 «О реализации в Российской Федерации в 2024 году Типовой модели системы долговременного ухода за гражданами пожилого возраста и инвалидами, нуждающимис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в уходе» (далее – приказ Минтруда РФ № 895)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/>
          <w:sz w:val="28"/>
          <w:szCs w:val="28"/>
          <w:highlight w:val="white"/>
        </w:rPr>
        <w:t xml:space="preserve">аконом Новосибирской области </w:t>
      </w: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/>
        </w:rPr>
        <w:t xml:space="preserve">от 21.12.2023 № 413-ОЗ «Об областном бюджете Новосибирской области на 2024 год и плановый период 2025 и 2026 годов»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остановлением Правительства Российской Федерации от 25.10.2023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№ 1782 «Об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утверждении общих требований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eastAsia="Times New Roman"/>
          <w:sz w:val="27"/>
          <w:szCs w:val="27"/>
          <w:highlight w:val="white"/>
          <w:lang w:eastAsia="ru-RU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в целях реализации постановления Правительства Новосибирской области от 25.12.2023 № 633-п «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Плане мероприятий («дорожной карте») по созданию системы долговременного ухода за гражданами пожилого возраста и инвалидами, нуждающимися в уходе в Новосибирской области в 2024 году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» (далее – дорожная карта)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определяет механизм определения объема, предоставления и распределения субсидий за счет средств областного бюджета Новосибирской области, формируемых в том числе за счет средств федерального бюджета.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 Субсидии предоставляются министерством труда и социального развития Новосибирской области (далее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министерство) в соответствии со сводной бюджетной росписью областного бюджета Новосибирской области в пределах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лимитов бюджетных обязательств, доведенных в установленном порядке министерству на предоставление субсидий на соответствующий финансовый год и плановый период некоммерческим организациям, не являющимся государственными (муниципальными) учреждениями (далее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некоммерческие организации).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 В настоящем Порядке применяются следующие понятия: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система долговременного ухода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система организации и предоставления органами и организациями социальных, медицинских, реабилитационных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абилитационных услуг гражданам, нуждающимся в уходе, основанная 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межведомственном взаимодействии;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уход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совокупность действий в отношении граждан, нуждающихся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уходе, обеспечивающих безопасные условия их проживания и способствующих поддержанию оптимального уровня физического, психического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эмоционального благополучия, облегчению болезненных состояний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предотвращению возможных осложнений;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 помощник по уходу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специалист, обеспечивающий предоставление социальных услуг по уходу за гражданами, нуждающимися в постороннем уходе.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 Субсидии предоставляются некоммерческим организациям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 победителям конкурсного отбора на финансовое обеспечение затрат, связанных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оплатой труда помощников по уходу (далее – отбор), в целях реализации пилотного проекта по созданию систем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 долговременного ухода за гражданами пожилого возраста и инвалидами, признанными нуждающимися в социальном обслуживании в соответствии с Федеральным законом от 28.12.2013 № 442-ФЗ «Об основах социального обслуживания граждан в Российской Федерации» (далее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Федеральный закон 442-ФЗ).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5. Способ предоставления субсидии: финансовое обеспечение затрат.</w:t>
      </w:r>
      <w:r>
        <w:rPr>
          <w:highlight w:val="white"/>
        </w:rPr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 Получателями субсидии являются некоммерческие организации, осуществляющие деятельность на территории Новосибирской области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включенные в реестр поставщиков социальных услуг Новосибирской области (далее – получатели субсидии).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center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 Условия и порядок предоставления субсидии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890"/>
        <w:ind w:firstLine="709"/>
        <w:jc w:val="center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1"/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 обеспечивает размещение на едином портале бюджетной системы Российской Федера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ции в информационно-телекоммуникационной сети «Интернет» (далее – единый портал), который является частью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государственной интегрированной информационной системы управления общественными финансами «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Электронный бюджет» (далее –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ГИИС «Электронный бюджет»), в течение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 рабочих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 дня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следующего за днем доведения бюджетных ассигнований на предоставление субсидии до министерства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информации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субсидии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Решение о порядке предоставления субсидии, предусмотренное пунктом 9 настоящего Порядка, размещается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едином портале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порядке, установленном Министерством финансов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и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официальном сайте министерства в информаци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онно-телекоммуникационной сети «Интернет» (далее – сайт, сеть «Интернет»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 утверждения решения о порядке предоставления субсидии, предусмотренного пунктом 9 настоящего Порядка, министерство вправе провести общественное обсуждение указанного решения в установленном им порядке.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9. Министерство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принимает решение о порядке предоставления субсидии в соответствии с настоящим Порядком в форме электронного документа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ГИИС «Электронный бюджет»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Информация, включаемая в решение о порядке предоставления субсидии в соответствии с пунктом 12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настоящ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его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Порядка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формируется в порядке, установленном Министерством финансов Российской Федерации для формирования и ведения реестра субсидий.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Решение о порядке предоставления субсидии принимается не позднее: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 февраля текущего финансового года, – в случае если бюджетные ассигнования на предоставление субсидии предусмотрены законом (решением) о бюджете;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0-го рабочего дня после доведения бюджетных ассигнований до министерства, – в случае если бюджетные ассигнования на предоставление субсидии предусмотрены законом о внесении изменений в закон (решение) о бюджете или сводной бюдже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тной росписью в результате внесения в нее изменений без внесения изменений в закон (решение) о бюджете.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роки принятия решений о порядке предоставления субсидии могут быть продлены в соответствии с решением Правительственной комиссии по вопросам оптимизации и повышения эффективности бюджетных расх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одов.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Решение о порядке предоставления субсидии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министра труда и социального развития Новосибирской области (уполномоченного им лица) (далее – министр (уполномоченное им лицо)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10. Решение о порядке предоставления субсидии из бюджета Новосибирской области подлежит согласованию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финансовым органом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(далее – финансовый орган) в течение 5 рабочих дней со дня его направления на согласование.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Решение о порядке предоставления субсидии из бюджета Новосибирской области в случае его согласования финансовым органом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в том числе в случае непредставления ими позиции, считается согласованным.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наличия по проекту решения о порядке предоставления субсидии разногласий с финансовым органом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министерство обеспечивает проведение согласительного совещания для обсуждения выявленных разногласий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целях поиска взаимоприемлемого решения.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Доработанный по итогам согласительного совещания проект решения о порядке предоставления субсидии направляется на повторное согласование в финансовый орган в течение 2 рабочих дней со дня 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ведения согласительного совещания.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Снятие сохранившихся после проведения согласительного совещания неурегулированных разногласий по проектам решений о порядке предоставления субсидий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осуществляется в соответствии с пунктом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11. 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При сохранении после проведения согласительного совещания неурегулированных разногласий по проекту решения о порядке предоставления субсидии министерство в течение 2 рабочих дней со дня проведения согласительного совеща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ния оформляет протокол согласительного совещания и таблицу разногласий, которые подписываются министром (уполномоченным им лицом) и заме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стителем министра финансов и налоговой политики Новосибирской области (в соответствии с распределением обязанностей) и направляются министерством на рассмотрение заместителю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Председателя Правительства Новосибирской области (в соответствии с распределением обязанностей).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 сохранении после рассмотрения заместителем Председателя Правительства Новосибирской области неурегулированных разногласий по проекту решения о порядке предоставления субсидии проект решения о порядке предоставления субсидии вместе с таблицей разногласий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направляется в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Правительственную комиссию по вопросам оптимизации и повышения эффективности бюджетных расходов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в целях принятия решения в отношении таких разногласий.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При сохранении после рассмотрения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Правительственной комиссией по вопросам оптимизации и повышения эффективности бюджетных расходов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неурегулированных разногласий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по проекту решения о порядке предоставления субсидии заместитель Председателя Правительства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(в соответствии с распределением обязанностей) о таких разногласиях докладывает Председателю Правительства Новосибирской области для принятия соответствующего решения.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Внесение изменений в решение о порядке предоставления субсидии осуществляется в порядке, аналогичном порядку, предусмотренному пунктом 10 настоящего Порядка.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12. В решение о порядке предоставления субсидии включается следующая информация: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1) наименование главного распорядителя бюджетных средств;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2) наименование бюджета бюджетной системы Российской Федерации, из которого предоставляется субсидия;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3) наименование структурного элемента г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осударственной программы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4) наименование субсидии;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5) цель предоставления субсидии;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код классификации расходов соответствующего бюджета бюджетной системы Российской Федерации, по которому предусмотрены бюджетные ассигнования на предоставление субсидии (доведены лимиты бюджетных обязательств на предоставление субсидии) (с детализацией эл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емента вида расхода);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7) тип субсидии, определенный в соответствии с установленным Министерством финансов Российской Федерации порядком проведения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мониторинга достижения результата предоставления субсидии (далее – порядок проведения мониторинга достижения результата);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8) тип результата предоставления субсидии, определенный в соответствии с порядком проведения мониторинга достижения результата;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) код результата предоставления субсидии, определенного в соответствии с порядком, установленным Министерством финансов Российской Федерации, наименование результата предоставления субсидии, а также при необходимости характеристика (характеристики) результ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ата предоставления субсидии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Под результатом предоставления субсидии понимается результат деятельности (действий) получателя субсидии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который должен быть конкретным, измеримым и соответствовать целям предоставления субсидии.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Под характеристиками результата предоставления субсидии понимаются дополнительные количественные параметры, которым должен соответствовать результат предоставления субсидии (далее – характеристика результата).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10) способ предоставления субсидии;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11) способ осуществления отбора, предусмотренный пунктом 3 статьи 78.5 Бюджетного кодекса Российской Федерации;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12) требования, определенные в соответствии с пунктом 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настоящего Порядка, которым должны соответствовать участники отбора;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13) порядок расчета размера субсидии с учетом положений пункта 18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Порядка;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14) наименование отчетности, представляемой получателем субсидии, предусмотренной пунктами 30-31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настоящего Порядка;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15) направления расходов, определенные 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пунктом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Порядка.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13. Участник отбора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 дату рассмотрения заявки 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 участие в отборе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и заключения соглашения о предоставлении субсидии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(далее – соглашение) должен соответствовать следующим требованиям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изованное через участие в капитале указанных публичных акционерных обществ;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занных с террористическими организациями и террористами или с распространением оружия массового уничтожения;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не получает средства из областного бюджета Новосибирской области на основании иных нормативных правовых актов Новосибирской области на цель, указанную в пункте 4 настоящего Порядка;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не является иностранным агентом в соответствии с Федеральным законом от 14.07.2022 № 255-ФЗ «О контроле за деятельностью лиц, находящихся под иностранным влиянием»;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6)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системы Российской Федерации;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7)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отсутствует просроченная задолженность по возврату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областной бюджет Новосибирской области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Новосибирской областью;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8) 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9)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14. Министерство осуществляет проверку участника отбора на соответствие требованиям, установленным пунктом 13 настоящего Порядка.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Проверка участника отбора на соответствие указанным требованиям осуществляется автоматически в ГИИС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ствия (при наличии технической возможности автоматической проверки), а также путем проверки сведений об участнике отбора в государственных информационных системах.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Формирование запросов о проверке сведений об участнике отбора в государственных информационных системах осуществляется министерством в течение двух рабочих дней с даты поступления заявки на участие в отборе.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15. Подтверждение соответствия участника отбора требованиям,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установленным пунктом 13 настоящего Порядка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в случае отсутствия технической возможности осуществления автоматической проверки в ГИИС «Электронный бюджет» производ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ГИИС «Электронный бюджет».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Документы, подтверждающие соответствие участника отбора требованиям, установленным пунктом 13 настоящего Порядка,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участник отбора вправе представить по собственной инициативе.</w:t>
      </w:r>
      <w:r>
        <w:rPr>
          <w:sz w:val="24"/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16. Документы, представляемые участником отбора в соответствии с пунктом 15 настоящего Порядка, должны быть составлены на русском языке и оформлены в печатном виде и (или) в форме электронного документа, подписанного усиленной квалифицированной электронной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подписью.</w:t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документах, предоставляемых участником отбора в печатной форме, не допускается применение факсимильных подписей.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17. 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 отказывает получателю субсидии в предоставлении субсидии по следующим основаниям: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несоответствие представл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енных получателем субсидии документов требованиям, определенным в соответствии с пунктом 13 настоящего Порядка, или непредставление (представление не в полном объеме) документов, предусмотренных пунктом 50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настоящего Порядка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установление факта недостоверности представленной получателем субсидии информации.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18. 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Размер субсидии определяется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0"/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center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A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=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B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х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х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х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A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размер предоставляемой субсидии;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B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заработная плата помощника по уходу за единицу времени ухода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(за 1 час);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C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необходимое (нормативное) количество часов ухода, требуемое 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социальных услуг одному гражданину, нуждающемуся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уходе, в неделю;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D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количество недель ухода исходя из условий соглашения;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E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количество граждан – получателей социальных услуг по уходу исходя из условий соглашения.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Размер заработной платы помощника по уходу в некоммерческой организации не должен превышать средний размер заработной платы помощника по уходу в государственных и муниципальных учреждениях при равнозначной норме рабочего времени.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Размер субсидии не может превышать сумму затрат на реализацию мероприятия дорожной карты в текущем финансовом году.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19. Результатом предоставления субсидии является достижение к 31 декабря отчетного года 100% от значения резул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ьтатов предоставления субсидии исполнения мероприятия, направленного на охват системой долговременного ухода граждан старше трудоспособного возраста и инвалидов, признанных нуждающимися в социальном обслуживании в соответствии с Федеральным законом 442-ФЗ.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Показателем, необходимым для достижения результата предоставления субсидии, является показатель, определяющий количество получателей услуг.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Значение показателя, необходимого для достижения результата предоставления субсидии, устанавливается в соглашении, заключенном между министерством и победителем отбора в соответствии с типовой формой,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установленной Министерством финансов Российской Федерации (далее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типовая форма), в ГИИС «Электронный бюджет».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Дополнительное соглашение к соглашению, в том числе дополнительное соглашение о расторжении соглашения, подлежат заключению в ГИИС «Электронный бюджет».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В соглашении в обязательном порядке указываются следующие условия предоставления субсидии: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целевое назначение субсидии;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результаты предоставления субсидии должны быть конкретными, измеримыми, с указанием в соглашении точной даты завершения и конечного значения результатов (конкретной количественной характеристики итогов);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 объем, срок предоставления и срок перечисления субсидии;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 счет некоммерческой организации, на который перечисляется субсидия;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 порядок, форма и срок представления некоммерческой организацией отчетов об использовании субсидии;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6) ответственность сторон за нарушение условий соглашения;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7) порядок возврата не использованных в отчетном финансовом году денежных средств, полученных в виде субсидии, в областной бюджет Новосибирской области;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8) согласие некоммерческой организации, а также лиц, получающих средства на основании договоров, заключенных с получателями субсидий (за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участием таких товариществ и обществ в их уставных (складочных) капиталах), на осуществление в отношении них проверки министерством как получателем бюджетных средств соблюдения порядка и условий предоставления субсидии,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том числе в час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ти достижения результатов предоставления субсидии, и характеристик (при установлении характеристик), а также проверки органом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10" w:tooltip="consultantplus://offline/ref=5C848DABD61BAF4A5155DD6EB479E5D55BC0EE05C86BD790661886DC81F984EA9EC84AFEBBD9D7C4735504EA27388BAA5D19C8E1928BTEW7D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статьями 268.1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hyperlink r:id="rId11" w:tooltip="consultantplus://offline/ref=5C848DABD61BAF4A5155DD6EB479E5D55BC0EE05C86BD790661886DC81F984EA9EC84AFEBBDBD1C4735504EA27388BAA5D19C8E1928BTEW7D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269.2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9) условие о согласовании новых условий соглашения или о расторжении со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приводящих к невозможности предоставления субсидии в размере, определенном в соглашении;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10) запрет приобретения за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чет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 импортного оборудования, сырья и комплектующих изделий, а также иных операций в случаях, определенных нормативными правовыми актами, муниципальными правовыми актами, решениями Президента Российской Федерации, Правительства Российской Федерации, высшего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должностного лица субъекта Российской Федерации, высшего исполнительного органа государственной власти субъекта Российской Федерации, местной администрации, регулирующими порядок предоставления субсидий;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11) 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Федерации, в случае, если предоставление субсидии осуществляется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рамках казначейского сопровождения.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21. Министерство в течение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десяти рабочих дней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 дня подписания протокола подведения итогов отбора обеспечивает размещение проекта соглашения в ГИИС «Электронный бюджет».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Победитель отбора обеспечивает подписание проекта соглашения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ГИИС «Электронный бюджет» в течение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десяти календарных дней со дня его размещения министерством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В случае неподписания соглашения и ненаправления возражения по проекту соглашения в течение указанного срока победитель отбора считается уклонившимся от заключения соглашения.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 в течение двух рабочих дней после подписания соглашения победителем отбора подписывает соглашение в ГИИС «Электронный бюджет».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23. 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Уточнить у бух-рии: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Перечисление субсидии получателю субсидии осуществляется 1 раз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год в соответствии с бюджетным законодательством Российской Федерации: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на счет для учета операций со средствами юридических лиц, не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являющихся участниками бюджетного процесса, открытый Управлением Федерального казначейства по Новосибирской области получателю субсидии, не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позднее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рабочих дней со дня заключения соглашения с победителем отбора (в случае если предоставление субсидии осуществляется в рамках казначейского сопровождения);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не позднее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календарных дней со дня заключения соглашения 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указанные в соглашении расчетные или корреспондентские счета субъекта, открытые субъектом в учреждениях Центрального банка Российской Федерации или в кредитных организациях (в случае если предоставление субсидии не подлежит казначейскому сопровождению).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24. Министерство может отказаться от заключения соглашения с победителем отбора в случае обнаружения факта несоответствия победителя отбор требованиям, указанным в объявлении о проведении отб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ора получателей субсидий, или представления победителем отбора недостоверной информации.</w:t>
      </w:r>
      <w:r>
        <w:rPr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25. В случае отказа министерства от заключения соглашения с победителем отбора по основаниям, предусмотренным пунктом 24 настоящего Порядка, отказа победителя отбора от заключения соглашени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я, неподписания победителем отбора соглашения в срок, определенный пунктом 22 настоящего Порядка, министерство направляет иным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результатов ее предоставл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ения или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26. 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распределенного между победителями отбора, увеличения лимито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бюджетных обязательств, отказа победителя отбора от заключения соглашения, расторжения соглашения с получателем субсидии министерство может принять решение о проведении дополнительного отбора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положениями настоящего Порядка, предусмотренными для проведения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27. 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случаях увеличения министерству лимитов бюджетных обязательств на предоставление субсидии в пределах текущего финансового года, отказа победителя отбора от заключения соглашения, расторжения соглашения с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лучателем субсидии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субсидия может распределяться без повторного проведения отбора и по решению министерства может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направляться победителям отбора предложение об увеличении размера субсидии и значения результата предоставления субсидии.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28. Соглашение может быть досрочно расторгнуто по соглашению министерства и победителя отбора, расторжение в одностороннем порядке победителем отбора не допускается.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29. Расторжение соглашения по инициативе министерства осуществляется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случаях: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реорганизации (за исключением реорганизации в форме присоединения) или прекращения деятельности победителем отбора;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отказа победителя отбора от изменения условий соглашения в случае, предусмотренном подпунктом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9 пункта 20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center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III. Требования к предоставлению отчетности, осуществлению контроля (мониторинга) за соблюдением условий и порядка предоставления субсидий и ответственности за их нарушение</w:t>
      </w:r>
      <w:r>
        <w:rPr>
          <w:highlight w:val="white"/>
        </w:rPr>
      </w:r>
    </w:p>
    <w:p>
      <w:pPr>
        <w:pStyle w:val="889"/>
        <w:ind w:firstLine="709"/>
        <w:jc w:val="center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Некоммерческая организация, с которой заключено соглашение, обязана ежемесячно представлять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не позднее 10 рабочего дня месяца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следующего за отчетным: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отчет о достижении значений результатов предоставления субсидии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отчет о расходах, источником финансового обеспечения которых является субсидия.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Министерство вправе устанавливать в соглашении сроки и формы представления получателем субсидии дополнительной отчетности.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Отчетность, предусмотренная настоящим Порядком, представляется с использованием ГИИС «Электронный бюджет» по формам, предусмотренным типовыми формами, установленными Министерством финансов Российской Федерации для соглашений.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Министерство осуществляет проверку и принятие отчетов, указанных в пунктах 30, 31 настоящего Порядка, в срок, не превышающий 20 рабочих дней со дня представления такого отчета.</w:t>
      </w:r>
      <w:r>
        <w:rPr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Контроль за соблюдением условий и порядка предоставления субсидии осуществляется в соответствии с бюджетным законодательством Российской Федерации министерством и органом государственного финансового контроля.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Министе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рство 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субсидии, органы государственного финансового контроля осуществляют проверку в соответствии со </w:t>
      </w:r>
      <w:hyperlink r:id="rId12" w:tooltip="consultantplus://offline/ref=0412A401BBF6CB2AF3B69F31A8166F45D2CAC9CACAE1FFA6DA47BE9D24C0C358018B8AC8599BEFF225FFFB3DC6E726F088FEFD5CBBF7Z7B6K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статьями 268.1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hyperlink r:id="rId13" w:tooltip="consultantplus://offline/ref=0412A401BBF6CB2AF3B69F31A8166F45D2CAC9CACAE1FFA6DA47BE9D24C0C358018B8AC85999E9F225FFFB3DC6E726F088FEFD5CBBF7Z7B6K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269.2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этапа реализации пилотного проекта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получению результата предоставления субсидии (контрольная точка),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порядке и по формам, которые установлены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В случае нарушения получателем субсидии условий, установленных при предоставлении субсидии, выявленн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ого в том числе по фактам проверок, проведенных министерством и органом государственного финансового контроля, а также в случае недостижения показателя, необходимого для достижения результата предоставления субсидии, указанного в соглашении, министерство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рабочих дней со дня установления факта нарушения письменно направляет получателю субсидии уведомление о возврате полученных средств в областной бюджет Новосибирской области, из которого предоставлена субсидия.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Получатель субсидии обязан в течение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рабочих дней со дня получения уведомления о возврате перечислить в министерство субсидию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размере, указанном в уведомлении и рассчитанном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V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возврата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= V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x (1 - T / S),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V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возврата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объем средств, подлежащий возврату в областной бюджет Новосибирской области, из которого предоставлена субсидия;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V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размер субсидии, предоставленной получателю субсидии;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T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фактически достигнутое значение результата предоставления субсидии на отчетную дату;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S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значение результата предоставления субсидии, установленное соглашением, указанным в </w:t>
      </w:r>
      <w:hyperlink r:id="rId14" w:tooltip="consultantplus://offline/ref=7C067337ADB8F6275790799A7728C4243D1A46643AF99C6048402D10CF50263E5FBDE992F04FB9BC3A8C0C393F2DEC105CA3E990190D1B8Be4jCJ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пункте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13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отказа получателя субсидии от добровольного возврата полученной субсидии денежные средства взыскиваются в судебном порядке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Получатель субсидии несет ответственность за несоблюдение условий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порядка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субсидий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center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889"/>
        <w:ind w:firstLine="709"/>
        <w:jc w:val="center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IV. Порядок проведения отбора получателей субсидий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Проведение отборов получателей субсидии обеспечивается в ГИИС «Электронный бюджет».</w:t>
      </w:r>
      <w:r>
        <w:rPr>
          <w:highlight w:val="white"/>
        </w:rPr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40. 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Получатели субсидии определяются по результатам отбора, проводимого министерством.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Отбор получателей субсидии осуществляется министерством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основании заявок, направленных некоммерческими организациями для участия в отборе, исходя из наилучших условий достижения результатов, в целях достижения которых предоставляется субсидия.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41. 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Объявление о проведении отбора размещается министерством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менее чем за пять календарных дней до дня начала приема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после подписания усиленной квалифицированной электронной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дписью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министра труда и социального развития Новосибирской области (уполномоченного им лица) (далее – министр (уполномоченное им лицо)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публикации на едином портале информации о субсидии.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42. Объявление о проведении отбора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министра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(уполномоченного им лица), публикуется на едином портале и включает в себя следующую информацию: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сроки проведения отбора;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2) способ проведения отбора;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 дата и время начала подачи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заявок участников отбора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и время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окончания приема заявок участников отбора,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которая не может быть ранее 30-го календарного дня, следующего за днем размещения объявления о проведении отбора;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наименование, место нахождения, почтовый адрес, адрес электронной почты, контактный телефон министерства, проводящего отбор;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 результаты предоставления субсидии в соответствии с пунктом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настоящего Порядка;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6) доменное имя и (или) указатели страниц ГИИС «Электронный бюджет» в сети «Интернет»;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требования к участникам отбора, предусмотренные пунктом 13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порядок подачи заявок участниками отбора и требования, предъявляемые к форме и содержанию заявок, подаваемых участниками отбора в соответствии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пунктами 49–55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порядок отзыва заявок участниками отбора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соответствии с пунктами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56-58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настоящего Порядка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включающий в себя возможность отзыва до наступления даты окончания приема заявок;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внесения участниками отбора изменений в заявки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соответствии с пунктами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56–58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включающий в себя возможность внесения изменений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рассмотрения заявок участников отбора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соответствии с пунктами 62–66, 69–74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отклонения заявок, а также информация об основаниях их отклонения в соответствии с пунктами 67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порядок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оценки заявок участников отбора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соответствии с пунктами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76–78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Порядка, включающий критерии оценки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участников отбора, предусмотренные пунктом 76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Порядка, и перечень документов, представляемых участниками отбора для подтверждения их соответствия критериям, предусмотренный пунктом 77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14) объем распределяемой субсидии в рамках отбора, порядок расчета размера субсидии, правила распределения субсидии по результатам отбора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пунктами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60 и 61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срок, в течение которого победитель (победители) отбора должен подписать соглашение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условия признания победителя (победителей) отбора уклонившимся от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заключения соглашения;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18) сроки размещения протокола подведения итогов отбора на едином портале,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 также на официальном сайте министерства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которые не могут быть позднее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14-го календарного дня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следующего за днем определения победителя (победителей) отбора.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43. 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44. Объявление об отмене отбора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министра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(уполномоченного им лица), размещается на едином портале и содержит информацию о причинах отмены отбора.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45. Участники отбора, подавшие заявки, информируются об отмене проведения отбора в ГИИС «Электронный бюджет».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46. Отбор считается отмененным со дня размещения объявления о его отмене на едином портале.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47. После окончания срока отмены проведения отбора в соответствии с пунктом 43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настоящих Правил и до заключения соглашения с победителем (победителями) отбора министерство может отменить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48. К участию в отборе допускаются некоммерческие организации, соответствующие требованиям, указанным в объявлении о проведении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49. 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Заявка подается в соответствии с требованиями и в сроки, указанные в объявлении о проведении отбора.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50. Заявки формируются участниками отбора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51. Заявка подписывается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усиленной квалифицированной электронной подписью руководителя участника отбора или уполномоченного им лица.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52. 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53. 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54. 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ГИИС «Электронный бюджет».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55. 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Заявка содержит следующие сведения: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информация и документы об участнике отбора: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 полное и сокращенное наименование участника отбора;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 основной государственный регистрационный номер участника отбора;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 идентификационный номер налогоплательщика;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и код причины постановки на учет в налоговом органе;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 адрес юридического лица;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е) номер контактного телефона, почтовый адрес и адрес электронной почты для направления юридически значимых сообщений;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ж) фамилия, имя, отчество (при наличии) и идентификационный номер налогоплательщика главного бухгалтера (при наличии);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з) информация о руководителе юридического лица (фамилия, имя, отчество (при наличии), идентификационный номер налогоплательщика, должность);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и) 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к) 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информация и документы, подтверждающие соответствие участника отбора установленным в объявлении о проведении отбора требованиям;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 информация и документы, представляемые при проведении отбора в процессе документооборота: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подтверждение согласия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ГИИС «Электронный бюджет»;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 предлагаемые участником отбора значение результата предоставления субсидии, указанного в пункте 19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настоящего Порядка, значение запрашиваемого участником отбора размера субсидии, который не может быть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выше максимального размера, установленного в объявлении о проведении отбора получателей субсидий;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 информация по каждому указанному в объявлении о проведении отбора критерию оценки, сведения, документы и материалы, подтверждающие такую информацию, определенные в объявлении о проведении отбора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 76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настоящего Порядка, к которым относятся: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электронная копия заверенного руководителем некоммерческой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списка специалистов, которых планируется привлечь к реализации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мероприятия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дорожной карты, с приложением копий свидетельств о прохождении обучения по программе профессиональной подготовки сиделки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помощника по уходу)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 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электронная копия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заверенного руководителем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некоммерческой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списка о собственных (привлеченных) средствах и ресурсах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реализации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мероприятия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рожной карты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а также электронные копии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платежных документов, подтверждающих их наличие;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 выписка из Единого государственного реестра юридических лиц;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ссылка на страницу сайта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некоммерческой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организации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информационно-телекоммуникационной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сети «Интернет»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(URL), на которой размещен публичный годовой отчет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56. 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50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Порядка, до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дня окончания срока приема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57. 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Внесение изменений в заявку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участниками отбора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возможно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после формирования участником отбора в электронной форме уведомления об отзыве заявки и последующего формирования новой заявки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58. 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критериям оценки, по которым участнику отбора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присваивается итоговое количество баллов.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59. 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Возврат заявок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участникам отбора на доработку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не возможен.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60. 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в министерство не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более 5 запросов о разъяснении положений объявления о проведении отбора путем формирования в ГИИС «Электронный бюджет» соответствующего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61. Министерство в ответ на запрос, указанный в пункте 60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очего дня до дня завершения подачи заявок, путем формирования в ГИИС «Электронный бюджет» соответствующего разъяснения. Представленное министерством разъяснение положений объявления о проведении отбора не 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олжно изменять суть информации, содержащейся в указанном объявлении.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Доступ к разъяснению, формируемому в ГИИС «Электронный бюджет» в соответствии с абзацем первым настоящего пункта, предоставляется всем участникам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62. 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 размещения объявления о проведении отбора на едином портале в целях проведения отбора министерство принимает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решение о рассмотрении и оценке заявок участников отбора в составе комиссии, создаваемой в целях проведен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ия отбора (далее – комиссия). Указанное решение принимается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высшим исполнительным органом Новосибирской области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должно содержать: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информацию о председателе комиссии, персональном составе комиссии, порядке ее работы;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информацию о полномочиях комиссии, к которым относятся: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 рассмотрение и оценка заявок участников отбора получателей субсидий (единственной заявки участника отбора получателей субсидий), принятие решения о признании отбора несостоявшимся;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 подписание протоколов, формируемых в процессе проведения отбора, содержащих информацию о принятых комиссией решениях;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 в случае необходимости осуществление запроса у участника отбора разъяснения в отношении представленных им документов и информации;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 единоличное подписание председателем комиссии протоколов, формируемых в процессе проведения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63. Решение министерства о создании комиссии принимается в форме правового акта и размещается на едином портале. Информация о принятом министерством решении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создании комиссии включается в объявление о проведении отбора.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64. Представители министерства, члены комиссии в случае наличия у них признаков аффилированности с участниками отбора не допускаются до рассмотрения и оценки заявок,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оданных такими участниками, и (или) отстраняются от их рассмотрения.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65. 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Взаимодействие министерства, комиссии с участниками отбора осуществляется с использованием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документов в электронной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66. Не позднее одного рабочего дня, следующего за днем окончания срока подачи заявок, установленного в объявлении о проведении отбора, в ГИИС «Электронный бюджет» открывается доступ министерству,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комиссии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поданным участниками отбора заявкам для их рассмотрения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оценки.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67. 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позднее одного рабочего дня,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следующего за днем вскрытия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установленного в объявлении о проведении отбора,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подписывает протокол вскрытия заявок, содержащий следующую информацию о поступивших для участия в отборе заявках:</w:t>
      </w:r>
      <w:r>
        <w:rPr>
          <w:highlight w:val="white"/>
        </w:rPr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регистрационный номер заявки;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дату и время поступления заявки;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 полное наименование участника отбора;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 адрес юридического лица;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 запрашиваемый участником отбора размер субсидии.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68. 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председателя комиссии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ГИИС «Электронный бюджет», а также размещается на едином портале не позднее рабочего дня,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следующего за днем его подписания.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69. 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Решения о соответствии заявки требованиям, указанным в объявлении о проведении отбора, принимаются комиссией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даты получения результатов проверки представленных участником отбора информации и документов, поданных в составе заявки.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70. 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Заявка отклоняется в случае наличия оснований для отклонения заявки, предусмотренных пунктами 71–72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71. На стадии рассмотрения заявки основаниями для отклонения заявки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несоответствие участника отбора требованиям, указанным в объявлении о проведении отбора;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непредставление (представление не в полном объеме) документов, указанных в объявлении о проведении отбора;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несоответствие представленных документов и (или) заявки требованиям, установленным в объявлении о проведении отбора;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недостоверность информации, содержащейся в документах, представленных в составе заявки.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72. 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стадии оценки заявки основаниями для отклонения заявки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несоответствие участника отбора требованиям, указанным в объявлении о проведении отбора;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недостоверность информации, содержащейся в документах, представленных в составе заявки.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ому участнику отбора о признании его заявки надлежащей или об отклонении его заявки с указанием оснований для отклонения.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74. 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председателя комиссии в ГИИС «Электронный бюджет», а также разме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щается на едином портале не позднее рабочего дня, следующего за днем его подписания.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75. В случае если в целях полного,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министерством осуществляется запрос у участника отбора разъяснения в отношении документов и информации с использованием ГИИС «Электронный бюджет», направляемый при необходимости в равной мере всем участник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ам отбора.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76. В запросе, указанном в пункте 75 настоящего Порядка,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чих дней со дня, следующего за днем размещения соответствующего запроса.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77. Участник отбора формирует и представляет в ГИИС «Электронный бюджет» информацию и документы, запрашиваемые в соответствии с пунктом 75 настоящего Порядка, в сроки, установленные соответствующим запросом с учетом положений пункта 76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78. В случае если участник отбора в ответ на запрос, указанный в пункте 75 настоящего Порядка, не представил запрашиваемые документы и информацию в срок, установленный соответствующим запросом с учетом положений пункта 76 настоящего Порядка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информация об этом включается в протокол рассмотрения заявок, предусмотренный пунктом 74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79. Отбор признается несостоявшимся в следующих случаях: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по окончании срока подачи заявок не подано ни одной заявки;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по результатам рассмотрения заявок отклонены все заявки;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 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Заявки рассматриваются комиссией в порядке присвоенных порядковых номеров.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определения победителя (победителей) отбора заявки оцениваются комиссией по следующим критериям: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наличие у некоммерческой организации квалифицированного кадрового потенциала, подтвержденного списками специалистов, необходимых для реализации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мероприятия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дорожной карты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(при отсутствии подтверждающих документов – 0 баллов; от 1 до 2 специалистов – 2 балла; от 3 до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5 специалистов – 3 балла; свыше 5 специалистов – 5 баллов);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наличие (объем) собственных (привлеченных) средств и ресурсов для реализации мероприятия дорожной карты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(менее 25% – 0 баллов; более 25% – 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балла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 продолжительность осуществления деятельности некоммерческой организации на территории Новосибирской области в социальной сфере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(до 6 месяцев – 0 баллов, от 6 месяцев до 3 лет – 2 балла; свыше 3 лет – 3 балла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 размещение на официальном сайте некоммерческой организации в сети «Интернет» публичного годового отчета некоммерческой организации за год, предшествующий году, в котором проводится отбор, содержащего информацию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целях и задачах деятельности некоммерческой организации, проектах, реализованных некоммерческой организацией, об использованных собственных денежных средствах, грантах, субсидиях, привлеченных некоммерческой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организацией для реализации проектов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(отсутствие разме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щения – 0 баллов; размещение – 1 балл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Перечень документов, предоставляемых участниками отбора, подтверждающих их соответствие критериям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определен подпунктом 5 пункта 55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color w:val="auto"/>
          <w:highlight w:val="white"/>
        </w:rP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82. 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Количество баллов n-го участника конкурса (R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vertAlign w:val="subscript"/>
        </w:rPr>
        <w:t xml:space="preserve">n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) рассчитывается по формуле: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889"/>
        <w:ind w:firstLine="709"/>
        <w:jc w:val="center"/>
        <w:spacing w:after="0" w:afterAutospacing="0" w:line="240" w:lineRule="auto"/>
        <w:widowControl/>
        <w:tabs>
          <w:tab w:val="left" w:pos="5954" w:leader="none"/>
        </w:tabs>
        <w:rPr>
          <w:color w:val="auto"/>
          <w:highlight w:val="white"/>
        </w:rP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R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vertAlign w:val="subscript"/>
        </w:rPr>
        <w:t xml:space="preserve">n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=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m:oMath>
        <m:nary>
          <m:naryPr>
            <m:chr m:val="∑"/>
            <m:grow m:val="off"/>
            <m:limLoc m:val="undOvr"/>
            <m:subHide m:val="on"/>
            <m:supHide m:val="on"/>
            <m:ctrlPr>
              <w:rPr>
                <w:rFonts w:hint="default" w:ascii="Cambria Math" w:hAnsi="Cambria Math" w:eastAsia="Cambria Math" w:cs="Cambria Math"/>
                <w:i/>
                <w:sz w:val="28"/>
                <w:szCs w:val="28"/>
                <w:highlight w:val="white"/>
              </w:rPr>
            </m:ctrlPr>
          </m:naryPr>
          <m:sub/>
          <m:sup/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white"/>
              </w:rPr>
              <m:rPr/>
              <m:t>F</m:t>
            </m:r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white"/>
                <w:vertAlign w:val="subscript"/>
              </w:rPr>
              <m:rPr/>
              <m:t>in</m:t>
            </m:r>
          </m:e>
        </m:nary>
      </m:oMath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color w:val="auto"/>
          <w:highlight w:val="white"/>
        </w:rP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где: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color w:val="auto"/>
          <w:highlight w:val="white"/>
        </w:rP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F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vertAlign w:val="subscript"/>
        </w:rPr>
        <w:t xml:space="preserve">in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 – количество баллов, присвоенных n-му участнику отбора по i-му критерию.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отсутствии сведений по какому-либо критерию заявке по данному критерию присваивается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баллов.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результатам оценки заявок комиссия рассчитывает рейтинг заявки 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участие в отборе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Победителем (победителями) отбора признается некоммерческая организация, набравшая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менее 5 баллов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результатам оценки.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83. 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определения комиссией нескольких победителей отбора каждому участнику отбора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включенному в рейтинг,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указанный в пункте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рейтинг, но не выше размера, указанного им в заявке, и максимального размера субсидии, определенного объявлением о проведении отбора;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84. 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доп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ускается использование критериев, не указанных в объявлении о проведении отбора, а также критериев, приводящих к получению необоснованных преимуществ отдельными участниками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85. В целях завершения отбора и определения победителя (победителей) отбора формируется протокол подведения итогов отбора, включающий информацию о количестве набранных участником отбора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баллов по каждому критерию оценки, об общем количестве набранных баллов по результатам оценки заявок или единственной заявки, о победителе (победителях) отбора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указанием размера субсидии, предусмотренной ему (им) для предоставления, об отклонении заявок с указанием оснований для их отклонения.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86. При указании в протоколе подведения итогов отбора размера субсидии, предусмотренной для предоставления участнику отбора в соответствии с пунктом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Порядка, в случае несоответствия запрашиваемого им размера субсидии порядку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расчета размера субсидии, установленному пунктом 18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настоящего Порядка, министерство может скорректировать размер субсидии, предусмотренной для предоставления такому участнику отбора, но не выше размера,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указанного им в заявке.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87. 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председателя комиссии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ГИИС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center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 w:line="240" w:lineRule="auto"/>
        <w:widowControl/>
        <w:tabs>
          <w:tab w:val="left" w:pos="595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Ермолаева Юлия Витальевна" w:date="2023-06-26T11:28:00Z" w:initials="ЕЮ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8E07B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97011896"/>
      <w:docPartObj>
        <w:docPartGallery w:val="Page Numbers (Top of Page)"/>
        <w:docPartUnique w:val="true"/>
      </w:docPartObj>
      <w:rPr/>
    </w:sdtPr>
    <w:sdtContent>
      <w:p>
        <w:pPr>
          <w:pStyle w:val="89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рмолаева Юлия Витальевна">
    <w15:presenceInfo w15:providerId="AD" w15:userId="S-1-5-21-2356655543-2162514679-1277178298-159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 w:default="1">
    <w:name w:val="Normal"/>
    <w:qFormat/>
  </w:style>
  <w:style w:type="paragraph" w:styleId="677">
    <w:name w:val="Heading 1"/>
    <w:basedOn w:val="676"/>
    <w:next w:val="676"/>
    <w:link w:val="72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next w:val="676"/>
    <w:link w:val="72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72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72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72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next w:val="676"/>
    <w:link w:val="72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3">
    <w:name w:val="Heading 7"/>
    <w:basedOn w:val="676"/>
    <w:next w:val="676"/>
    <w:link w:val="72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4">
    <w:name w:val="Heading 8"/>
    <w:basedOn w:val="676"/>
    <w:next w:val="676"/>
    <w:link w:val="73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5">
    <w:name w:val="Heading 9"/>
    <w:basedOn w:val="676"/>
    <w:next w:val="676"/>
    <w:link w:val="73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table" w:styleId="689">
    <w:name w:val="Plain Table 1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99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00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03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06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07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08" w:customStyle="1">
    <w:name w:val="Heading 1 Char"/>
    <w:basedOn w:val="686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686"/>
    <w:uiPriority w:val="9"/>
    <w:rPr>
      <w:rFonts w:ascii="Arial" w:hAnsi="Arial" w:eastAsia="Arial" w:cs="Arial"/>
      <w:sz w:val="34"/>
    </w:rPr>
  </w:style>
  <w:style w:type="character" w:styleId="710" w:customStyle="1">
    <w:name w:val="Heading 3 Char"/>
    <w:basedOn w:val="686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Heading 4 Char"/>
    <w:basedOn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5 Char"/>
    <w:basedOn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6 Char"/>
    <w:basedOn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Heading 7 Char"/>
    <w:basedOn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686"/>
    <w:uiPriority w:val="10"/>
    <w:rPr>
      <w:sz w:val="48"/>
      <w:szCs w:val="48"/>
    </w:rPr>
  </w:style>
  <w:style w:type="character" w:styleId="718" w:customStyle="1">
    <w:name w:val="Subtitle Char"/>
    <w:basedOn w:val="686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Footnote Text Char"/>
    <w:uiPriority w:val="99"/>
    <w:rPr>
      <w:sz w:val="18"/>
    </w:rPr>
  </w:style>
  <w:style w:type="character" w:styleId="722" w:customStyle="1">
    <w:name w:val="Endnote Text Char"/>
    <w:uiPriority w:val="99"/>
    <w:rPr>
      <w:sz w:val="20"/>
    </w:rPr>
  </w:style>
  <w:style w:type="character" w:styleId="723" w:customStyle="1">
    <w:name w:val="Заголовок 1 Знак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686"/>
    <w:link w:val="678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676"/>
    <w:uiPriority w:val="34"/>
    <w:qFormat/>
    <w:pPr>
      <w:contextualSpacing/>
      <w:ind w:left="720"/>
    </w:pPr>
  </w:style>
  <w:style w:type="paragraph" w:styleId="733">
    <w:name w:val="No Spacing"/>
    <w:uiPriority w:val="1"/>
    <w:qFormat/>
    <w:pPr>
      <w:spacing w:after="0" w:line="240" w:lineRule="auto"/>
    </w:pPr>
  </w:style>
  <w:style w:type="paragraph" w:styleId="734">
    <w:name w:val="Title"/>
    <w:basedOn w:val="676"/>
    <w:next w:val="676"/>
    <w:link w:val="735"/>
    <w:uiPriority w:val="10"/>
    <w:qFormat/>
    <w:pPr>
      <w:contextualSpacing/>
      <w:spacing w:before="300"/>
    </w:pPr>
    <w:rPr>
      <w:sz w:val="48"/>
      <w:szCs w:val="48"/>
    </w:rPr>
  </w:style>
  <w:style w:type="character" w:styleId="735" w:customStyle="1">
    <w:name w:val="Заголовок Знак"/>
    <w:basedOn w:val="686"/>
    <w:link w:val="734"/>
    <w:uiPriority w:val="10"/>
    <w:rPr>
      <w:sz w:val="48"/>
      <w:szCs w:val="48"/>
    </w:rPr>
  </w:style>
  <w:style w:type="paragraph" w:styleId="736">
    <w:name w:val="Subtitle"/>
    <w:basedOn w:val="676"/>
    <w:next w:val="676"/>
    <w:link w:val="737"/>
    <w:uiPriority w:val="11"/>
    <w:qFormat/>
    <w:pPr>
      <w:spacing w:before="200"/>
    </w:pPr>
    <w:rPr>
      <w:sz w:val="24"/>
      <w:szCs w:val="24"/>
    </w:rPr>
  </w:style>
  <w:style w:type="character" w:styleId="737" w:customStyle="1">
    <w:name w:val="Подзаголовок Знак"/>
    <w:basedOn w:val="686"/>
    <w:link w:val="736"/>
    <w:uiPriority w:val="11"/>
    <w:rPr>
      <w:sz w:val="24"/>
      <w:szCs w:val="24"/>
    </w:rPr>
  </w:style>
  <w:style w:type="paragraph" w:styleId="738">
    <w:name w:val="Quote"/>
    <w:basedOn w:val="676"/>
    <w:next w:val="676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76"/>
    <w:next w:val="676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character" w:styleId="742" w:customStyle="1">
    <w:name w:val="Header Char"/>
    <w:basedOn w:val="686"/>
    <w:uiPriority w:val="99"/>
  </w:style>
  <w:style w:type="character" w:styleId="743" w:customStyle="1">
    <w:name w:val="Footer Char"/>
    <w:basedOn w:val="686"/>
    <w:uiPriority w:val="99"/>
  </w:style>
  <w:style w:type="paragraph" w:styleId="744">
    <w:name w:val="Caption"/>
    <w:basedOn w:val="676"/>
    <w:next w:val="67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5" w:customStyle="1">
    <w:name w:val="Caption Char"/>
    <w:uiPriority w:val="99"/>
  </w:style>
  <w:style w:type="table" w:styleId="746">
    <w:name w:val="Table Grid"/>
    <w:basedOn w:val="68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7" w:customStyle="1">
    <w:name w:val="Table Grid Light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 w:customStyle="1">
    <w:name w:val="Таблица простая 11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Таблица простая 21"/>
    <w:basedOn w:val="6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Таблица простая 3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 w:customStyle="1">
    <w:name w:val="Таблица простая 4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Таблица простая 5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1 светл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Таблица-сетка 2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Таблица-сетка 3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Таблица-сетка 41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6" w:customStyle="1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7" w:customStyle="1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8" w:customStyle="1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9" w:customStyle="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0" w:customStyle="1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1" w:customStyle="1">
    <w:name w:val="Таблица-сетка 5 тем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8" w:customStyle="1">
    <w:name w:val="Таблица-сетка 6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0" w:customStyle="1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1" w:customStyle="1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2" w:customStyle="1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3" w:customStyle="1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Таблица-сетка 7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Список-таблица 1 светлая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Список-таблица 2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6" w:customStyle="1">
    <w:name w:val="Список-таблица 3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Список-таблица 4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Список-таблица 5 тем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Список-таблица 6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1" w:customStyle="1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3" w:customStyle="1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4" w:customStyle="1">
    <w:name w:val="Список-таблица 7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 &amp; 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Bordered &amp; 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Bordered &amp; 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Bordered &amp; 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Bordered &amp; 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Bordered &amp; 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7" w:customStyle="1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8" w:customStyle="1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9" w:customStyle="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0" w:customStyle="1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1" w:customStyle="1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2">
    <w:name w:val="footnote text"/>
    <w:basedOn w:val="676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686"/>
    <w:uiPriority w:val="99"/>
    <w:unhideWhenUsed/>
    <w:rPr>
      <w:vertAlign w:val="superscript"/>
    </w:rPr>
  </w:style>
  <w:style w:type="paragraph" w:styleId="875">
    <w:name w:val="endnote text"/>
    <w:basedOn w:val="676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686"/>
    <w:uiPriority w:val="99"/>
    <w:semiHidden/>
    <w:unhideWhenUsed/>
    <w:rPr>
      <w:vertAlign w:val="superscript"/>
    </w:rPr>
  </w:style>
  <w:style w:type="paragraph" w:styleId="878">
    <w:name w:val="toc 1"/>
    <w:basedOn w:val="676"/>
    <w:next w:val="676"/>
    <w:uiPriority w:val="39"/>
    <w:unhideWhenUsed/>
    <w:pPr>
      <w:spacing w:after="57"/>
    </w:pPr>
  </w:style>
  <w:style w:type="paragraph" w:styleId="879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80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81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82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83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84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85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86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676"/>
    <w:next w:val="676"/>
    <w:uiPriority w:val="99"/>
    <w:unhideWhenUsed/>
    <w:pPr>
      <w:spacing w:after="0"/>
    </w:pPr>
  </w:style>
  <w:style w:type="paragraph" w:styleId="889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90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91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92">
    <w:name w:val="Balloon Text"/>
    <w:basedOn w:val="676"/>
    <w:link w:val="89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basedOn w:val="686"/>
    <w:link w:val="892"/>
    <w:uiPriority w:val="99"/>
    <w:semiHidden/>
    <w:rPr>
      <w:rFonts w:ascii="Tahoma" w:hAnsi="Tahoma" w:cs="Tahoma"/>
      <w:sz w:val="16"/>
      <w:szCs w:val="16"/>
    </w:rPr>
  </w:style>
  <w:style w:type="character" w:styleId="894">
    <w:name w:val="Hyperlink"/>
    <w:basedOn w:val="686"/>
    <w:uiPriority w:val="99"/>
    <w:unhideWhenUsed/>
    <w:rPr>
      <w:color w:val="0000ff" w:themeColor="hyperlink"/>
      <w:u w:val="single"/>
    </w:rPr>
  </w:style>
  <w:style w:type="character" w:styleId="895">
    <w:name w:val="Placeholder Text"/>
    <w:basedOn w:val="686"/>
    <w:uiPriority w:val="99"/>
    <w:semiHidden/>
    <w:rPr>
      <w:color w:val="808080"/>
    </w:rPr>
  </w:style>
  <w:style w:type="paragraph" w:styleId="896">
    <w:name w:val="Header"/>
    <w:basedOn w:val="676"/>
    <w:link w:val="8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7" w:customStyle="1">
    <w:name w:val="Верхний колонтитул Знак"/>
    <w:basedOn w:val="686"/>
    <w:link w:val="896"/>
    <w:uiPriority w:val="99"/>
  </w:style>
  <w:style w:type="paragraph" w:styleId="898">
    <w:name w:val="Footer"/>
    <w:basedOn w:val="676"/>
    <w:link w:val="89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9" w:customStyle="1">
    <w:name w:val="Нижний колонтитул Знак"/>
    <w:basedOn w:val="686"/>
    <w:link w:val="898"/>
    <w:uiPriority w:val="99"/>
  </w:style>
  <w:style w:type="paragraph" w:styleId="900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character" w:styleId="901">
    <w:name w:val="annotation reference"/>
    <w:basedOn w:val="686"/>
    <w:uiPriority w:val="99"/>
    <w:semiHidden/>
    <w:unhideWhenUsed/>
    <w:rPr>
      <w:sz w:val="16"/>
      <w:szCs w:val="16"/>
    </w:rPr>
  </w:style>
  <w:style w:type="paragraph" w:styleId="902">
    <w:name w:val="annotation text"/>
    <w:basedOn w:val="676"/>
    <w:link w:val="90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3" w:customStyle="1">
    <w:name w:val="Текст примечания Знак"/>
    <w:basedOn w:val="686"/>
    <w:link w:val="902"/>
    <w:uiPriority w:val="99"/>
    <w:semiHidden/>
    <w:rPr>
      <w:sz w:val="20"/>
      <w:szCs w:val="20"/>
    </w:rPr>
  </w:style>
  <w:style w:type="paragraph" w:styleId="904">
    <w:name w:val="annotation subject"/>
    <w:basedOn w:val="902"/>
    <w:next w:val="902"/>
    <w:link w:val="905"/>
    <w:uiPriority w:val="99"/>
    <w:semiHidden/>
    <w:unhideWhenUsed/>
    <w:rPr>
      <w:b/>
      <w:bCs/>
    </w:rPr>
  </w:style>
  <w:style w:type="character" w:styleId="905" w:customStyle="1">
    <w:name w:val="Тема примечания Знак"/>
    <w:basedOn w:val="903"/>
    <w:link w:val="904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5C848DABD61BAF4A5155DD6EB479E5D55BC0EE05C86BD790661886DC81F984EA9EC84AFEBBD9D7C4735504EA27388BAA5D19C8E1928BTEW7D" TargetMode="External"/><Relationship Id="rId11" Type="http://schemas.openxmlformats.org/officeDocument/2006/relationships/hyperlink" Target="consultantplus://offline/ref=5C848DABD61BAF4A5155DD6EB479E5D55BC0EE05C86BD790661886DC81F984EA9EC84AFEBBDBD1C4735504EA27388BAA5D19C8E1928BTEW7D" TargetMode="External"/><Relationship Id="rId12" Type="http://schemas.openxmlformats.org/officeDocument/2006/relationships/hyperlink" Target="consultantplus://offline/ref=0412A401BBF6CB2AF3B69F31A8166F45D2CAC9CACAE1FFA6DA47BE9D24C0C358018B8AC8599BEFF225FFFB3DC6E726F088FEFD5CBBF7Z7B6K" TargetMode="External"/><Relationship Id="rId13" Type="http://schemas.openxmlformats.org/officeDocument/2006/relationships/hyperlink" Target="consultantplus://offline/ref=0412A401BBF6CB2AF3B69F31A8166F45D2CAC9CACAE1FFA6DA47BE9D24C0C358018B8AC85999E9F225FFFB3DC6E726F088FEFD5CBBF7Z7B6K" TargetMode="External"/><Relationship Id="rId14" Type="http://schemas.openxmlformats.org/officeDocument/2006/relationships/hyperlink" Target="consultantplus://offline/ref=7C067337ADB8F6275790799A7728C4243D1A46643AF99C6048402D10CF50263E5FBDE992F04FB9BC3A8C0C393F2DEC105CA3E990190D1B8Be4jCJ" TargetMode="External"/><Relationship Id="rId15" Type="http://schemas.onlyoffice.com/commentsDocument" Target="commentsDocument.xml" /><Relationship Id="rId16" Type="http://schemas.onlyoffice.com/commentsExtendedDocument" Target="commentsExtendedDocument.xml" /><Relationship Id="rId17" Type="http://schemas.onlyoffice.com/commentsIdsDocument" Target="commentsIdsDocument.xml" /><Relationship Id="rId18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DF92E-9C64-48C8-BD17-026CFC72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Кустаровская Марина Витальевна</dc:creator>
  <cp:revision>54</cp:revision>
  <dcterms:created xsi:type="dcterms:W3CDTF">2023-08-07T06:39:00Z</dcterms:created>
  <dcterms:modified xsi:type="dcterms:W3CDTF">2024-03-11T10:17:06Z</dcterms:modified>
</cp:coreProperties>
</file>