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</w:p>
    <w:p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color w:val="000000" w:themeColor="text1"/>
          <w:sz w:val="28"/>
          <w:szCs w:val="28"/>
        </w:rPr>
        <w:t xml:space="preserve">в постановление Правительства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Новосибирской области </w:t>
      </w:r>
      <w:r>
        <w:rPr>
          <w:sz w:val="28"/>
          <w:szCs w:val="28"/>
        </w:rPr>
        <w:t xml:space="preserve">от 26.08.2019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354-п</w:t>
      </w:r>
    </w:p>
    <w:p>
      <w:pPr>
        <w:jc w:val="center"/>
        <w:rPr>
          <w:sz w:val="28"/>
          <w:szCs w:val="28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26.08.2019 № 354-п «О Порядке осуществления ведомственного контроля за соблюдением требований Феде</w:t>
      </w:r>
      <w:r>
        <w:rPr>
          <w:sz w:val="28"/>
          <w:szCs w:val="28"/>
        </w:rPr>
        <w:t xml:space="preserve">рального закона от 18.07.2011 № </w:t>
      </w:r>
      <w:r>
        <w:rPr>
          <w:sz w:val="28"/>
          <w:szCs w:val="28"/>
        </w:rPr>
        <w:t xml:space="preserve">223-ФЗ «О 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 следующие изменения: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 подпунктах 1, 2 пункта 2</w:t>
      </w:r>
      <w:r>
        <w:rPr>
          <w:sz w:val="28"/>
          <w:szCs w:val="28"/>
        </w:rPr>
        <w:t xml:space="preserve">, пункте 3</w:t>
      </w:r>
      <w:r>
        <w:rPr>
          <w:sz w:val="28"/>
          <w:szCs w:val="28"/>
        </w:rPr>
        <w:t xml:space="preserve"> слова «государственной власти» исключить.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 В Порядке осуществления ведомственного контроля за соблюдением требований Феде</w:t>
      </w:r>
      <w:r>
        <w:rPr>
          <w:sz w:val="28"/>
          <w:szCs w:val="28"/>
        </w:rPr>
        <w:t xml:space="preserve">рального закона от 18.07.2011 № </w:t>
      </w:r>
      <w:r>
        <w:rPr>
          <w:sz w:val="28"/>
          <w:szCs w:val="28"/>
        </w:rPr>
        <w:t xml:space="preserve">223-ФЗ «О закупках товаров, работ, услуг отдельными видами юридических лиц» и иных принятых в соответствии с ним нормативных правовых актов Российской Федерации»: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пункте 1 слова «органами государственной власти» заменить словами «</w:t>
      </w:r>
      <w:r>
        <w:rPr>
          <w:sz w:val="28"/>
          <w:szCs w:val="28"/>
        </w:rPr>
        <w:t xml:space="preserve">областными </w:t>
      </w:r>
      <w:r>
        <w:rPr>
          <w:sz w:val="28"/>
          <w:szCs w:val="28"/>
        </w:rPr>
        <w:t xml:space="preserve">исполнительными органами»;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пункт 5 признать утратившим силу;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пункт 6 после слова «осуществляется» дополнить словами «органом ведомственного контроля в отношении подведомственных ему заказчиков»;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 пункт 7 </w:t>
      </w:r>
      <w:r>
        <w:rPr>
          <w:color w:val="000000" w:themeColor="text1"/>
          <w:sz w:val="28"/>
          <w:szCs w:val="28"/>
        </w:rPr>
        <w:t xml:space="preserve">изложить в </w:t>
      </w:r>
      <w:r>
        <w:rPr>
          <w:color w:val="000000" w:themeColor="text1"/>
          <w:sz w:val="28"/>
          <w:szCs w:val="28"/>
        </w:rPr>
        <w:t xml:space="preserve">следующе</w:t>
      </w:r>
      <w:r>
        <w:rPr>
          <w:color w:val="000000" w:themeColor="text1"/>
          <w:sz w:val="28"/>
          <w:szCs w:val="28"/>
        </w:rPr>
        <w:t xml:space="preserve">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редакции</w:t>
      </w:r>
      <w:r>
        <w:rPr>
          <w:color w:val="000000" w:themeColor="text1"/>
          <w:sz w:val="28"/>
          <w:szCs w:val="28"/>
        </w:rPr>
        <w:t xml:space="preserve">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«7. </w:t>
      </w:r>
      <w:r>
        <w:rPr>
          <w:color w:val="000000" w:themeColor="text1"/>
          <w:sz w:val="28"/>
          <w:szCs w:val="28"/>
        </w:rPr>
        <w:t xml:space="preserve">Плановые проверки проводятся на основании плана проверок, утверждаемого руководителем органа ведомственного контроля до 1 октября года, предшествующего году проведения плановых проверок, по приказу органа ведомственного контроля.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Включение подведомственного заказчика в план проверок осуществляется </w:t>
      </w:r>
      <w:r>
        <w:rPr>
          <w:color w:val="000000" w:themeColor="text1"/>
          <w:sz w:val="28"/>
          <w:szCs w:val="28"/>
        </w:rPr>
        <w:t xml:space="preserve">исходя из присвоенной ему органом ведомственного контроля категории р</w:t>
      </w:r>
      <w:r>
        <w:rPr>
          <w:color w:val="000000" w:themeColor="text1"/>
          <w:sz w:val="28"/>
          <w:szCs w:val="28"/>
        </w:rPr>
        <w:t xml:space="preserve">иска (высокая, средняя, низкая), о</w:t>
      </w:r>
      <w:r>
        <w:rPr>
          <w:color w:val="000000" w:themeColor="text1"/>
          <w:sz w:val="28"/>
          <w:szCs w:val="28"/>
        </w:rPr>
        <w:t xml:space="preserve">ценка </w:t>
      </w:r>
      <w:r>
        <w:rPr>
          <w:color w:val="000000" w:themeColor="text1"/>
          <w:sz w:val="28"/>
          <w:szCs w:val="28"/>
        </w:rPr>
        <w:t xml:space="preserve">которого </w:t>
      </w:r>
      <w:r>
        <w:rPr>
          <w:color w:val="000000" w:themeColor="text1"/>
          <w:sz w:val="28"/>
          <w:szCs w:val="28"/>
        </w:rPr>
        <w:t xml:space="preserve">проводится органом ведомственного контроля </w:t>
      </w:r>
      <w:r>
        <w:rPr>
          <w:color w:val="000000" w:themeColor="text1"/>
          <w:sz w:val="28"/>
          <w:szCs w:val="28"/>
        </w:rPr>
        <w:t xml:space="preserve">в установленном им </w:t>
      </w:r>
      <w:r>
        <w:rPr>
          <w:color w:val="000000" w:themeColor="text1"/>
          <w:sz w:val="28"/>
          <w:szCs w:val="28"/>
        </w:rPr>
        <w:t xml:space="preserve">порядке, </w:t>
      </w:r>
      <w:r>
        <w:rPr>
          <w:color w:val="000000" w:themeColor="text1"/>
          <w:sz w:val="28"/>
          <w:szCs w:val="28"/>
        </w:rPr>
        <w:t xml:space="preserve">а также с учетом периодичности проведения проверок, установленной </w:t>
      </w:r>
      <w:r>
        <w:rPr>
          <w:color w:val="000000" w:themeColor="text1"/>
          <w:sz w:val="28"/>
          <w:szCs w:val="28"/>
        </w:rPr>
        <w:t xml:space="preserve">настоящим пунктом.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Основаниями для включения подведомственного заказчика в план проверок также являются </w:t>
      </w:r>
      <w:r>
        <w:rPr>
          <w:color w:val="000000" w:themeColor="text1"/>
          <w:sz w:val="28"/>
          <w:szCs w:val="28"/>
        </w:rPr>
        <w:t xml:space="preserve">поручения Губернатора Новосибирской области, обращени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, запрос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органов прокуратуры, правоохранительных органов, иных государственных органов, обращени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 граждан, юридических лиц, ины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сведени</w:t>
      </w:r>
      <w:r>
        <w:rPr>
          <w:color w:val="000000" w:themeColor="text1"/>
          <w:sz w:val="28"/>
          <w:szCs w:val="28"/>
        </w:rPr>
        <w:t xml:space="preserve">я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содержащи</w:t>
      </w:r>
      <w:r>
        <w:rPr>
          <w:color w:val="000000" w:themeColor="text1"/>
          <w:sz w:val="28"/>
          <w:szCs w:val="28"/>
        </w:rPr>
        <w:t xml:space="preserve">е</w:t>
      </w:r>
      <w:r>
        <w:rPr>
          <w:color w:val="000000" w:themeColor="text1"/>
          <w:sz w:val="28"/>
          <w:szCs w:val="28"/>
        </w:rPr>
        <w:t xml:space="preserve"> информацию о нарушениях либо признаках нарушений требований законодательства о закупках.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Периодичность проведения проверок в отношении одного подведомственного заказчика должна составлять не реже одного раза в три года, за исключением случаев, установленных абзацем </w:t>
      </w:r>
      <w:r>
        <w:rPr>
          <w:color w:val="000000" w:themeColor="text1"/>
          <w:sz w:val="28"/>
          <w:szCs w:val="28"/>
        </w:rPr>
        <w:t xml:space="preserve">пятым-седьмым</w:t>
      </w:r>
      <w:r>
        <w:rPr>
          <w:color w:val="000000" w:themeColor="text1"/>
          <w:sz w:val="28"/>
          <w:szCs w:val="28"/>
        </w:rPr>
        <w:t xml:space="preserve"> настоящего пункта.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Внеплановые проверки проводятся по приказу органа ведомственного контроля на основании: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поступившей в орган ведомственного контроля информации о признаках нарушений подведомственным заказчиком законодательства о закупках;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непредставления подведомственным заказчиком информации об устранении нарушений законодательства о закупках по истечении срока, установленного в плане устранения выявленных нарушений, указанном в пункте 24 Порядка.</w:t>
      </w:r>
      <w:r>
        <w:rPr>
          <w:color w:val="000000" w:themeColor="text1"/>
          <w:sz w:val="28"/>
          <w:szCs w:val="28"/>
        </w:rPr>
        <w:t xml:space="preserve">».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пункты 13, 14 изложить в следующей редакции: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«13. </w:t>
      </w:r>
      <w:r>
        <w:rPr>
          <w:rFonts w:eastAsia="Arial"/>
          <w:sz w:val="28"/>
          <w:szCs w:val="28"/>
        </w:rPr>
        <w:t xml:space="preserve">В приказе органа ведомственного контроля о проведении проверки указываются: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1) полное наименование подведомственного заказчика, в отношении которого проводится проверка, его идентификационный номер налого</w:t>
      </w:r>
      <w:r>
        <w:rPr>
          <w:rFonts w:eastAsia="Arial"/>
          <w:sz w:val="28"/>
          <w:szCs w:val="28"/>
        </w:rPr>
        <w:t xml:space="preserve">плательщика (ИНН);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2) основание проведения проверки;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3) цели, предмет проверки, форма ее проведения;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4) проверяемый период;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5) дата начала проверки;</w:t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6) сроки проведения проверки;</w:t>
      </w:r>
    </w:p>
    <w:p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7) состав контрольной группы или уполномоченное на проведение проверки должностное лицо, с указанием фамилии, имени, отчества (последнее - при наличии) и должности указанных лиц.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14. Орган ведомственного контроля не позднее чем за три рабочих дня до даты начала проведения проверки направляет подведомственному заказчику уведомление о </w:t>
      </w:r>
      <w:r>
        <w:rPr>
          <w:sz w:val="28"/>
          <w:szCs w:val="28"/>
        </w:rPr>
        <w:t xml:space="preserve">проведении проверки</w:t>
      </w:r>
      <w:r>
        <w:rPr>
          <w:rFonts w:eastAsia="Arial"/>
          <w:sz w:val="28"/>
          <w:szCs w:val="28"/>
        </w:rPr>
        <w:t xml:space="preserve">, копию приказа о проведении проверки.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должно содержать </w:t>
      </w:r>
      <w:r>
        <w:rPr>
          <w:rFonts w:eastAsia="Arial"/>
          <w:sz w:val="28"/>
          <w:szCs w:val="28"/>
        </w:rPr>
        <w:t xml:space="preserve">запрос о предоставлении документов, информации, необходимых для проведения проверки</w:t>
      </w:r>
      <w:r>
        <w:rPr>
          <w:rFonts w:eastAsia="Arial"/>
          <w:sz w:val="28"/>
          <w:szCs w:val="28"/>
        </w:rPr>
        <w:t xml:space="preserve">,</w:t>
      </w:r>
      <w:r>
        <w:rPr>
          <w:rFonts w:eastAsia="Arial"/>
          <w:sz w:val="28"/>
          <w:szCs w:val="28"/>
        </w:rPr>
        <w:t xml:space="preserve"> информацию о необходимости обеспечения условий для проведения выездной проверки, в том числе о предоставлении помещения для работы, средств связи и иных необходимых средств и оборудования для проведения проверки.</w:t>
      </w:r>
      <w:r>
        <w:rPr>
          <w:sz w:val="28"/>
          <w:szCs w:val="28"/>
        </w:rPr>
        <w:t xml:space="preserve">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 пункт 18 изложить в следующей редакции: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</w:pPr>
      <w:r>
        <w:rPr>
          <w:sz w:val="28"/>
          <w:szCs w:val="28"/>
        </w:rPr>
        <w:t xml:space="preserve">«18. </w:t>
      </w:r>
      <w:r>
        <w:rPr>
          <w:rFonts w:eastAsia="Arial"/>
          <w:sz w:val="28"/>
          <w:szCs w:val="28"/>
        </w:rPr>
        <w:t xml:space="preserve">Срок проведения проверки составляет не более 15 рабочих дней. Приказом руководителя органа ведомственного контроля срок проведения проверки в исключительных случаях, связанных с необходимостью проведения сложных и (или) длительных исследований, специальных экспертиз, на основании мотивированного предложения </w:t>
      </w:r>
      <w:r>
        <w:rPr>
          <w:sz w:val="28"/>
          <w:szCs w:val="28"/>
        </w:rPr>
        <w:t xml:space="preserve">руководителя контрольной группы (уполномоченного должностного лица) может быть продлен</w:t>
      </w:r>
      <w:r>
        <w:rPr>
          <w:rFonts w:eastAsia="Arial"/>
          <w:sz w:val="28"/>
          <w:szCs w:val="28"/>
        </w:rPr>
        <w:t xml:space="preserve">,</w:t>
      </w:r>
      <w:r>
        <w:rPr>
          <w:rFonts w:eastAsia="Arial"/>
          <w:sz w:val="28"/>
          <w:szCs w:val="28"/>
        </w:rPr>
        <w:t xml:space="preserve"> при этом общий срок проведения проверки с учетом продлений срока ее проведен</w:t>
      </w:r>
      <w:r>
        <w:rPr>
          <w:rFonts w:eastAsia="Arial"/>
          <w:sz w:val="28"/>
          <w:szCs w:val="28"/>
        </w:rPr>
        <w:t xml:space="preserve">ия не может составлять более 30</w:t>
      </w:r>
      <w:r>
        <w:rPr>
          <w:rFonts w:eastAsia="Arial"/>
          <w:sz w:val="28"/>
          <w:szCs w:val="28"/>
        </w:rPr>
        <w:t xml:space="preserve"> рабочих дней.»;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7) пункт 19 после слова «экземплярах» дополнить словами «</w:t>
      </w:r>
      <w:r>
        <w:rPr>
          <w:rFonts w:eastAsia="Arial"/>
          <w:sz w:val="28"/>
          <w:szCs w:val="28"/>
        </w:rPr>
        <w:t xml:space="preserve">,</w:t>
      </w:r>
      <w:r>
        <w:rPr>
          <w:rFonts w:eastAsia="Arial"/>
          <w:sz w:val="28"/>
          <w:szCs w:val="28"/>
        </w:rPr>
        <w:t xml:space="preserve"> оформление акта включает в себя составление акта и его подписание»;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8) пункт 22 изложить в следующей редакции: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«22. Один экземпляр акта проверки в течение 5 рабочих дней со дня его подписания вручается руководителю подведомственного заказчика под расписку либо направляется подведомственному заказчику посредством почтовой связи заказным письмом с уведомлением о вручении, которое приобщается к экземпляру акта проверки органа ведомственного контроля, или </w:t>
      </w:r>
      <w:r>
        <w:rPr>
          <w:sz w:val="28"/>
          <w:szCs w:val="28"/>
        </w:rPr>
        <w:t xml:space="preserve">посредством государственной информационной системы «Система электронного документооборота и делопроизводства Правительства Новосибирской области»</w:t>
      </w:r>
      <w:r>
        <w:rPr>
          <w:rFonts w:eastAsia="Arial"/>
          <w:sz w:val="28"/>
          <w:szCs w:val="28"/>
        </w:rPr>
        <w:t xml:space="preserve">.»;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9) </w:t>
      </w:r>
      <w:r>
        <w:rPr>
          <w:rFonts w:eastAsia="Arial"/>
          <w:sz w:val="28"/>
          <w:szCs w:val="28"/>
        </w:rPr>
        <w:t xml:space="preserve">в </w:t>
      </w:r>
      <w:r>
        <w:rPr>
          <w:rFonts w:eastAsia="Arial"/>
          <w:sz w:val="28"/>
          <w:szCs w:val="28"/>
        </w:rPr>
        <w:t xml:space="preserve">пункт</w:t>
      </w:r>
      <w:r>
        <w:rPr>
          <w:rFonts w:eastAsia="Arial"/>
          <w:sz w:val="28"/>
          <w:szCs w:val="28"/>
        </w:rPr>
        <w:t xml:space="preserve">е</w:t>
      </w:r>
      <w:r>
        <w:rPr>
          <w:rFonts w:eastAsia="Arial"/>
          <w:sz w:val="28"/>
          <w:szCs w:val="28"/>
        </w:rPr>
        <w:t xml:space="preserve"> 23</w:t>
      </w:r>
      <w:r>
        <w:rPr>
          <w:rFonts w:eastAsia="Arial"/>
          <w:sz w:val="28"/>
          <w:szCs w:val="28"/>
        </w:rPr>
        <w:t xml:space="preserve">: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а) </w:t>
      </w:r>
      <w:r>
        <w:rPr>
          <w:rFonts w:eastAsia="Arial"/>
          <w:sz w:val="28"/>
          <w:szCs w:val="28"/>
        </w:rPr>
        <w:t xml:space="preserve">после слов «</w:t>
      </w:r>
      <w:r>
        <w:rPr>
          <w:sz w:val="28"/>
          <w:szCs w:val="28"/>
        </w:rPr>
        <w:t xml:space="preserve">мотивированные возражения на акт проверки в письменной форме» дополнить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(далее –возражения)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rFonts w:eastAsia="Arial"/>
          <w:sz w:val="28"/>
          <w:szCs w:val="28"/>
        </w:rPr>
        <w:t xml:space="preserve">дополнить абзацем следующего содержания: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«</w:t>
      </w:r>
      <w:r>
        <w:rPr>
          <w:sz w:val="28"/>
          <w:szCs w:val="28"/>
        </w:rPr>
        <w:t xml:space="preserve">Возражения, представленные в установленный срок, мотивированный ответ на них приобщаются к материалам проверки.»;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 пункт 26 изложить в следующей редакции: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«26. </w:t>
      </w:r>
      <w:r>
        <w:rPr>
          <w:sz w:val="28"/>
          <w:szCs w:val="28"/>
        </w:rPr>
        <w:t xml:space="preserve">Приказ о проведении проверки, о продлении </w:t>
      </w:r>
      <w:r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проверки, акт проверки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подлежат размещению в государственной информационной системе Новосибирской области «Контроль» в</w:t>
      </w:r>
      <w:r>
        <w:rPr>
          <w:sz w:val="28"/>
          <w:szCs w:val="28"/>
        </w:rPr>
        <w:t xml:space="preserve"> срок не позднее 10 (десяти) рабочих дней со дня подписания </w:t>
      </w:r>
      <w:r>
        <w:rPr>
          <w:sz w:val="28"/>
          <w:szCs w:val="28"/>
        </w:rPr>
        <w:t xml:space="preserve">указанных документов</w:t>
      </w:r>
      <w:r>
        <w:rPr>
          <w:sz w:val="28"/>
          <w:szCs w:val="28"/>
        </w:rPr>
        <w:t xml:space="preserve">. </w:t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проведенной проверки размещается на официальном сайте органа ведомственного контроля в сети Интернет в</w:t>
      </w:r>
      <w:r>
        <w:rPr>
          <w:sz w:val="28"/>
          <w:szCs w:val="28"/>
        </w:rPr>
        <w:t xml:space="preserve"> срок не позднее 10 рабочих дней со дня подписания акта проверки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 </w:t>
      </w:r>
    </w:p>
    <w:p>
      <w:pPr>
        <w:ind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</w:p>
    <w:p>
      <w:pPr>
        <w:ind w:right="-2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 А.А. Травников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С.Л. Шарпф</w:t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238 63 84</w:t>
      </w:r>
    </w:p>
    <w:p>
      <w:pPr>
        <w:jc w:val="both"/>
        <w:rPr>
          <w:bCs/>
          <w:sz w:val="20"/>
          <w:szCs w:val="20"/>
        </w:rPr>
      </w:pPr>
    </w:p>
    <w:p>
      <w:pPr>
        <w:jc w:val="both"/>
        <w:rPr>
          <w:sz w:val="20"/>
          <w:szCs w:val="20"/>
        </w:rPr>
        <w:sectPr>
          <w:headerReference w:type="default" r:id="rId9"/>
          <w:pgSz w:w="11906" w:h="16838"/>
          <w:pgMar w:top="1134" w:right="567" w:bottom="1134" w:left="1417" w:header="709" w:footer="709" w:gutter="0"/>
          <w:cols w:space="708"/>
          <w:docGrid w:linePitch="360"/>
          <w:titlePg/>
        </w:sectPr>
      </w:pPr>
    </w:p>
    <w:p>
      <w:pPr>
        <w:jc w:val="both"/>
        <w:rPr>
          <w:sz w:val="20"/>
          <w:szCs w:val="20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</w:p>
    <w:tbl>
      <w:tblPr>
        <w:tblStyle w:val="aff1"/>
        <w:tblW w:w="3144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64"/>
        <w:gridCol w:w="284"/>
      </w:tblGrid>
      <w:tr>
        <w:tc>
          <w:tcPr>
            <w:tcW w:w="31164" w:type="dxa"/>
            <w:gridSpan w:val="2"/>
            <w:noWrap/>
          </w:tcPr>
          <w:p>
            <w:pPr>
              <w:tabs>
                <w:tab w:val="left" w:pos="9315"/>
              </w:tabs>
              <w:rPr>
                <w:sz w:val="28"/>
                <w:szCs w:val="28"/>
                <w:lang w:eastAsia="en-US"/>
              </w:rPr>
            </w:pPr>
          </w:p>
        </w:tc>
      </w:tr>
      <w:tr>
        <w:trPr>
          <w:gridAfter w:val="1"/>
        </w:trPr>
        <w:tc>
          <w:tcPr>
            <w:tcW w:w="31164" w:type="dxa"/>
            <w:noWrap/>
          </w:tcPr>
          <w:tbl>
            <w:tblPr>
              <w:tblStyle w:val="aff1"/>
              <w:tblW w:w="1010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6134"/>
              <w:gridCol w:w="510"/>
              <w:gridCol w:w="3459"/>
            </w:tblGrid>
            <w:tr>
              <w:tc>
                <w:tcPr>
                  <w:tcW w:w="6134" w:type="dxa"/>
                  <w:noWrap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rFonts w:cstheme="minorBid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В.М. Знатков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Министр юстиции Новосибирской области</w:t>
                  </w: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Т.Н. Деркач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«___»________2024 г.</w:t>
                  </w: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</w:t>
                  </w: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С.Л. Шарпф</w:t>
                  </w:r>
                </w:p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>
              <w:tc>
                <w:tcPr>
                  <w:tcW w:w="6134" w:type="dxa"/>
                  <w:noWrap/>
                </w:tcPr>
                <w:p>
                  <w:pPr>
                    <w:ind w:left="-67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отдела административного производства контрольного управления Новосибирской области</w:t>
                  </w:r>
                </w:p>
              </w:tc>
              <w:tc>
                <w:tcPr>
                  <w:tcW w:w="510" w:type="dxa"/>
                  <w:noWrap/>
                </w:tcPr>
                <w:p>
                  <w:pPr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459" w:type="dxa"/>
                  <w:noWrap/>
                </w:tcPr>
                <w:p>
                  <w:pPr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Н.В. Грачева</w:t>
                  </w:r>
                </w:p>
                <w:p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«___»________202</w:t>
                  </w:r>
                  <w:r>
                    <w:rPr>
                      <w:sz w:val="28"/>
                      <w:szCs w:val="28"/>
                      <w:lang w:val="en-US" w:eastAsia="en-US"/>
                    </w:rPr>
                    <w:t xml:space="preserve">4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г.</w:t>
                  </w:r>
                </w:p>
              </w:tc>
            </w:tr>
          </w:tbl>
          <w:p>
            <w:pPr>
              <w:rPr>
                <w:rFonts w:asciiTheme="minorHAnsi" w:hAnsiTheme="minorHAnsi" w:eastAsiaTheme="minorHAnsi" w:cstheme="minorBidi"/>
                <w:lang w:eastAsia="en-US"/>
              </w:rPr>
            </w:pPr>
          </w:p>
        </w:tc>
      </w:tr>
    </w:tbl>
    <w:p>
      <w:pPr>
        <w:rPr>
          <w:bCs/>
          <w:sz w:val="20"/>
          <w:szCs w:val="20"/>
        </w:rPr>
      </w:pPr>
    </w:p>
    <w:sectPr>
      <w:pgSz w:w="11906" w:h="16838"/>
      <w:pgMar w:top="1134" w:right="567" w:bottom="1134" w:left="1417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917973827"/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3</w:t>
        </w:r>
        <w:r>
          <w:fldChar w:fldCharType="end"/>
        </w:r>
      </w:p>
    </w:sdtContent>
  </w:sdt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7D40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4F6C138">
      <w:start w:val="1"/>
      <w:numFmt w:val="lowerLetter"/>
      <w:lvlText w:val="%2."/>
      <w:lvlJc w:val="left"/>
      <w:pPr>
        <w:ind w:left="1440" w:hanging="360"/>
      </w:pPr>
    </w:lvl>
    <w:lvl w:ilvl="2" w:tplc="05A6EDC2">
      <w:start w:val="1"/>
      <w:numFmt w:val="lowerRoman"/>
      <w:lvlText w:val="%3."/>
      <w:lvlJc w:val="right"/>
      <w:pPr>
        <w:ind w:left="2160" w:hanging="180"/>
      </w:pPr>
    </w:lvl>
    <w:lvl w:ilvl="3" w:tplc="AED0E59E">
      <w:start w:val="1"/>
      <w:numFmt w:val="decimal"/>
      <w:lvlText w:val="%4."/>
      <w:lvlJc w:val="left"/>
      <w:pPr>
        <w:ind w:left="2880" w:hanging="360"/>
      </w:pPr>
    </w:lvl>
    <w:lvl w:ilvl="4" w:tplc="751C45F6">
      <w:start w:val="1"/>
      <w:numFmt w:val="lowerLetter"/>
      <w:lvlText w:val="%5."/>
      <w:lvlJc w:val="left"/>
      <w:pPr>
        <w:ind w:left="3600" w:hanging="360"/>
      </w:pPr>
    </w:lvl>
    <w:lvl w:ilvl="5" w:tplc="83F497C4">
      <w:start w:val="1"/>
      <w:numFmt w:val="lowerRoman"/>
      <w:lvlText w:val="%6."/>
      <w:lvlJc w:val="right"/>
      <w:pPr>
        <w:ind w:left="4320" w:hanging="180"/>
      </w:pPr>
    </w:lvl>
    <w:lvl w:ilvl="6" w:tplc="D5640FD4">
      <w:start w:val="1"/>
      <w:numFmt w:val="decimal"/>
      <w:lvlText w:val="%7."/>
      <w:lvlJc w:val="left"/>
      <w:pPr>
        <w:ind w:left="5040" w:hanging="360"/>
      </w:pPr>
    </w:lvl>
    <w:lvl w:ilvl="7" w:tplc="BD98E3CE">
      <w:start w:val="1"/>
      <w:numFmt w:val="lowerLetter"/>
      <w:lvlText w:val="%8."/>
      <w:lvlJc w:val="left"/>
      <w:pPr>
        <w:ind w:left="5760" w:hanging="360"/>
      </w:pPr>
    </w:lvl>
    <w:lvl w:ilvl="8" w:tplc="EFFE8EA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C648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0649372">
      <w:start w:val="1"/>
      <w:numFmt w:val="lowerLetter"/>
      <w:lvlText w:val="%2."/>
      <w:lvlJc w:val="left"/>
      <w:pPr>
        <w:ind w:left="1789" w:hanging="360"/>
      </w:pPr>
    </w:lvl>
    <w:lvl w:ilvl="2" w:tplc="E012B902">
      <w:start w:val="1"/>
      <w:numFmt w:val="lowerRoman"/>
      <w:lvlText w:val="%3."/>
      <w:lvlJc w:val="right"/>
      <w:pPr>
        <w:ind w:left="2509" w:hanging="180"/>
      </w:pPr>
    </w:lvl>
    <w:lvl w:ilvl="3" w:tplc="08DE9678">
      <w:start w:val="1"/>
      <w:numFmt w:val="decimal"/>
      <w:lvlText w:val="%4."/>
      <w:lvlJc w:val="left"/>
      <w:pPr>
        <w:ind w:left="3229" w:hanging="360"/>
      </w:pPr>
    </w:lvl>
    <w:lvl w:ilvl="4" w:tplc="E564AB9C">
      <w:start w:val="1"/>
      <w:numFmt w:val="lowerLetter"/>
      <w:lvlText w:val="%5."/>
      <w:lvlJc w:val="left"/>
      <w:pPr>
        <w:ind w:left="3949" w:hanging="360"/>
      </w:pPr>
    </w:lvl>
    <w:lvl w:ilvl="5" w:tplc="00703F0A">
      <w:start w:val="1"/>
      <w:numFmt w:val="lowerRoman"/>
      <w:lvlText w:val="%6."/>
      <w:lvlJc w:val="right"/>
      <w:pPr>
        <w:ind w:left="4669" w:hanging="180"/>
      </w:pPr>
    </w:lvl>
    <w:lvl w:ilvl="6" w:tplc="B210BF50">
      <w:start w:val="1"/>
      <w:numFmt w:val="decimal"/>
      <w:lvlText w:val="%7."/>
      <w:lvlJc w:val="left"/>
      <w:pPr>
        <w:ind w:left="5389" w:hanging="360"/>
      </w:pPr>
    </w:lvl>
    <w:lvl w:ilvl="7" w:tplc="0A1AEE86">
      <w:start w:val="1"/>
      <w:numFmt w:val="lowerLetter"/>
      <w:lvlText w:val="%8."/>
      <w:lvlJc w:val="left"/>
      <w:pPr>
        <w:ind w:left="6109" w:hanging="360"/>
      </w:pPr>
    </w:lvl>
    <w:lvl w:ilvl="8" w:tplc="464E9ED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 w:tplc="CE447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A86070">
      <w:start w:val="1"/>
      <w:numFmt w:val="lowerLetter"/>
      <w:lvlText w:val="%2."/>
      <w:lvlJc w:val="left"/>
      <w:pPr>
        <w:ind w:left="1440" w:hanging="360"/>
      </w:pPr>
    </w:lvl>
    <w:lvl w:ilvl="2" w:tplc="1CB49468">
      <w:start w:val="1"/>
      <w:numFmt w:val="lowerRoman"/>
      <w:lvlText w:val="%3."/>
      <w:lvlJc w:val="right"/>
      <w:pPr>
        <w:ind w:left="2160" w:hanging="180"/>
      </w:pPr>
    </w:lvl>
    <w:lvl w:ilvl="3" w:tplc="084CA0A4">
      <w:start w:val="1"/>
      <w:numFmt w:val="decimal"/>
      <w:lvlText w:val="%4."/>
      <w:lvlJc w:val="left"/>
      <w:pPr>
        <w:ind w:left="2880" w:hanging="360"/>
      </w:pPr>
    </w:lvl>
    <w:lvl w:ilvl="4" w:tplc="1BA4B73E">
      <w:start w:val="1"/>
      <w:numFmt w:val="lowerLetter"/>
      <w:lvlText w:val="%5."/>
      <w:lvlJc w:val="left"/>
      <w:pPr>
        <w:ind w:left="3600" w:hanging="360"/>
      </w:pPr>
    </w:lvl>
    <w:lvl w:ilvl="5" w:tplc="69BA810C">
      <w:start w:val="1"/>
      <w:numFmt w:val="lowerRoman"/>
      <w:lvlText w:val="%6."/>
      <w:lvlJc w:val="right"/>
      <w:pPr>
        <w:ind w:left="4320" w:hanging="180"/>
      </w:pPr>
    </w:lvl>
    <w:lvl w:ilvl="6" w:tplc="0BC85232">
      <w:start w:val="1"/>
      <w:numFmt w:val="decimal"/>
      <w:lvlText w:val="%7."/>
      <w:lvlJc w:val="left"/>
      <w:pPr>
        <w:ind w:left="5040" w:hanging="360"/>
      </w:pPr>
    </w:lvl>
    <w:lvl w:ilvl="7" w:tplc="C8CE1E48">
      <w:start w:val="1"/>
      <w:numFmt w:val="lowerLetter"/>
      <w:lvlText w:val="%8."/>
      <w:lvlJc w:val="left"/>
      <w:pPr>
        <w:ind w:left="5760" w:hanging="360"/>
      </w:pPr>
    </w:lvl>
    <w:lvl w:ilvl="8" w:tplc="F5BA88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1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paragraph" w:styleId="110" w:customStyle="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Heading1Char" w:customStyle="1">
    <w:name w:val="Heading 1 Char"/>
    <w:basedOn w:val="a0"/>
    <w:link w:val="110"/>
    <w:uiPriority w:val="9"/>
    <w:rPr>
      <w:rFonts w:ascii="Arial" w:hAnsi="Arial" w:eastAsia="Arial" w:cs="Arial"/>
      <w:sz w:val="40"/>
      <w:szCs w:val="40"/>
    </w:rPr>
  </w:style>
  <w:style w:type="paragraph" w:styleId="21" w:customStyle="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Heading2Char" w:customStyle="1">
    <w:name w:val="Heading 2 Char"/>
    <w:basedOn w:val="a0"/>
    <w:link w:val="21"/>
    <w:uiPriority w:val="9"/>
    <w:rPr>
      <w:rFonts w:ascii="Arial" w:hAnsi="Arial" w:eastAsia="Arial" w:cs="Arial"/>
      <w:sz w:val="34"/>
    </w:rPr>
  </w:style>
  <w:style w:type="paragraph" w:styleId="31" w:customStyle="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Heading3Char" w:customStyle="1">
    <w:name w:val="Heading 3 Char"/>
    <w:basedOn w:val="a0"/>
    <w:link w:val="31"/>
    <w:uiPriority w:val="9"/>
    <w:rPr>
      <w:rFonts w:ascii="Arial" w:hAnsi="Arial" w:eastAsia="Arial" w:cs="Arial"/>
      <w:sz w:val="30"/>
      <w:szCs w:val="30"/>
    </w:rPr>
  </w:style>
  <w:style w:type="paragraph" w:styleId="41" w:customStyle="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Heading4Char" w:customStyle="1">
    <w:name w:val="Heading 4 Char"/>
    <w:basedOn w:val="a0"/>
    <w:link w:val="41"/>
    <w:uiPriority w:val="9"/>
    <w:rPr>
      <w:rFonts w:ascii="Arial" w:hAnsi="Arial" w:eastAsia="Arial" w:cs="Arial"/>
      <w:b/>
      <w:bCs/>
      <w:sz w:val="26"/>
      <w:szCs w:val="26"/>
    </w:rPr>
  </w:style>
  <w:style w:type="paragraph" w:styleId="51" w:customStyle="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Heading5Char" w:customStyle="1">
    <w:name w:val="Heading 5 Char"/>
    <w:basedOn w:val="a0"/>
    <w:link w:val="51"/>
    <w:uiPriority w:val="9"/>
    <w:rPr>
      <w:rFonts w:ascii="Arial" w:hAnsi="Arial" w:eastAsia="Arial" w:cs="Arial"/>
      <w:b/>
      <w:bCs/>
      <w:sz w:val="24"/>
      <w:szCs w:val="24"/>
    </w:rPr>
  </w:style>
  <w:style w:type="paragraph" w:styleId="61" w:customStyle="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Heading6Char" w:customStyle="1">
    <w:name w:val="Heading 6 Char"/>
    <w:basedOn w:val="a0"/>
    <w:link w:val="61"/>
    <w:uiPriority w:val="9"/>
    <w:rPr>
      <w:rFonts w:ascii="Arial" w:hAnsi="Arial" w:eastAsia="Arial" w:cs="Arial"/>
      <w:b/>
      <w:bCs/>
      <w:sz w:val="22"/>
      <w:szCs w:val="22"/>
    </w:rPr>
  </w:style>
  <w:style w:type="paragraph" w:styleId="71" w:customStyle="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Heading7Char" w:customStyle="1">
    <w:name w:val="Heading 7 Char"/>
    <w:basedOn w:val="a0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1" w:customStyle="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Heading8Char" w:customStyle="1">
    <w:name w:val="Heading 8 Char"/>
    <w:basedOn w:val="a0"/>
    <w:link w:val="81"/>
    <w:uiPriority w:val="9"/>
    <w:rPr>
      <w:rFonts w:ascii="Arial" w:hAnsi="Arial" w:eastAsia="Arial" w:cs="Arial"/>
      <w:i/>
      <w:iCs/>
      <w:sz w:val="22"/>
      <w:szCs w:val="22"/>
    </w:rPr>
  </w:style>
  <w:style w:type="paragraph" w:styleId="91" w:customStyle="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9Char" w:customStyle="1">
    <w:name w:val="Heading 9 Char"/>
    <w:basedOn w:val="a0"/>
    <w:link w:val="91"/>
    <w:uiPriority w:val="9"/>
    <w:rPr>
      <w:rFonts w:ascii="Arial" w:hAnsi="Arial" w:eastAsia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8" w:customStyle="1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styleId="aa" w:customStyle="1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c" w:customStyle="1">
    <w:name w:val="Выделенная цитата Знак"/>
    <w:link w:val="ab"/>
    <w:uiPriority w:val="30"/>
    <w:rPr>
      <w:i/>
    </w:rPr>
  </w:style>
  <w:style w:type="character" w:styleId="10" w:customStyle="1">
    <w:name w:val="Верхний колонтитул Знак1"/>
    <w:basedOn w:val="a0"/>
    <w:link w:val="a3"/>
    <w:uiPriority w:val="99"/>
  </w:style>
  <w:style w:type="character" w:styleId="FooterChar" w:customStyle="1">
    <w:name w:val="Footer Char"/>
    <w:basedOn w:val="a0"/>
    <w:uiPriority w:val="99"/>
  </w:style>
  <w:style w:type="paragraph" w:styleId="13" w:customStyle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11" w:customStyle="1">
    <w:name w:val="Нижний колонтитул Знак1"/>
    <w:link w:val="a4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1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410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510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Segoe UI" w:hAnsi="Segoe UI" w:cs="Segoe UI" w:eastAsiaTheme="minorHAnsi"/>
      <w:sz w:val="18"/>
      <w:szCs w:val="18"/>
      <w:lang w:eastAsia="en-US"/>
    </w:rPr>
  </w:style>
  <w:style w:type="character" w:styleId="af6" w:customStyle="1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160"/>
    </w:pPr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af9" w:customStyle="1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styleId="afb" w:customStyle="1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15" w:customStyle="1">
    <w:name w:val="Верхний колонтитул1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styleId="aff" w:customStyle="1">
    <w:name w:val="Верхний колонтитул Знак"/>
    <w:basedOn w:val="a0"/>
    <w:link w:val="1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 w:customStyle="1">
    <w:name w:val="Нижний колонтитул1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styleId="aff0" w:customStyle="1">
    <w:name w:val="Нижний колонтитул Знак"/>
    <w:basedOn w:val="a0"/>
    <w:link w:val="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formattext" w:customStyle="1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65D6-FE1F-42EA-8D38-F71C3CC1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5698</Characters>
  <CharactersWithSpaces>6684</CharactersWithSpaces>
  <Company>АГНОиПНО</Company>
  <DocSecurity>0</DocSecurity>
  <HyperlinksChanged>false</HyperlinksChanged>
  <Lines>47</Lines>
  <LinksUpToDate>false</LinksUpToDate>
  <Pages>4</Pages>
  <Paragraphs>13</Paragraphs>
  <ScaleCrop>false</ScaleCrop>
  <SharedDoc>false</SharedDoc>
  <Template>Normal</Template>
  <TotalTime>105</TotalTime>
  <Words>999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</dc:creator>
  <cp:keywords/>
  <dc:description/>
  <cp:lastModifiedBy>Майер Евгения Андреевна</cp:lastModifiedBy>
  <cp:revision>27</cp:revision>
  <dcterms:created xsi:type="dcterms:W3CDTF">2023-02-21T13:53:00Z</dcterms:created>
  <dcterms:modified xsi:type="dcterms:W3CDTF">2024-04-19T08:48:00Z</dcterms:modified>
</cp:coreProperties>
</file>