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УТВЕРЖДЕНЫ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Губернатора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jc w:val="center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КВОТЫ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jc w:val="center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добычи </w:t>
      </w:r>
      <w:r>
        <w:rPr>
          <w:rFonts w:ascii="Times New Roman" w:hAnsi="Times New Roman" w:cs="Times New Roman"/>
          <w:sz w:val="28"/>
          <w:szCs w:val="28"/>
        </w:rPr>
        <w:t xml:space="preserve">соболя</w:t>
      </w:r>
      <w:r>
        <w:rPr>
          <w:rFonts w:ascii="Times New Roman" w:hAnsi="Times New Roman" w:cs="Times New Roman"/>
          <w:sz w:val="28"/>
          <w:szCs w:val="28"/>
        </w:rPr>
        <w:t xml:space="preserve"> для каждого охотничьего угодья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на территории Новосибирской области</w:t>
      </w:r>
      <w:r>
        <w:rPr>
          <w:rFonts w:eastAsiaTheme="minorHAnsi"/>
          <w:b/>
          <w:sz w:val="28"/>
          <w:szCs w:val="28"/>
          <w:lang w:eastAsia="en-US"/>
        </w:rPr>
        <w:t xml:space="preserve"> на период</w:t>
      </w:r>
      <w:r>
        <w:rPr>
          <w:rFonts w:eastAsiaTheme="minorHAnsi"/>
          <w:b/>
          <w:sz w:val="28"/>
          <w:szCs w:val="28"/>
          <w:lang w:eastAsia="en-US"/>
        </w:rPr>
      </w:r>
      <w:r>
        <w:rPr>
          <w:rFonts w:eastAsiaTheme="minorHAnsi"/>
          <w:b/>
          <w:sz w:val="28"/>
          <w:szCs w:val="28"/>
          <w:lang w:eastAsia="en-US"/>
        </w:rPr>
      </w:r>
    </w:p>
    <w:p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с 1 августа 20</w:t>
      </w:r>
      <w:r>
        <w:rPr>
          <w:rFonts w:eastAsiaTheme="minorHAnsi"/>
          <w:b/>
          <w:sz w:val="28"/>
          <w:szCs w:val="28"/>
          <w:lang w:eastAsia="en-US"/>
        </w:rPr>
        <w:t xml:space="preserve">2</w:t>
      </w:r>
      <w:r>
        <w:rPr>
          <w:rFonts w:eastAsiaTheme="minorHAnsi"/>
          <w:b/>
          <w:sz w:val="28"/>
          <w:szCs w:val="28"/>
          <w:lang w:eastAsia="en-US"/>
        </w:rPr>
        <w:t xml:space="preserve">4 года до 1 августа 20</w:t>
      </w:r>
      <w:r>
        <w:rPr>
          <w:rFonts w:eastAsiaTheme="minorHAnsi"/>
          <w:b/>
          <w:sz w:val="28"/>
          <w:szCs w:val="28"/>
          <w:lang w:eastAsia="en-US"/>
        </w:rPr>
        <w:t xml:space="preserve">2</w:t>
      </w:r>
      <w:r>
        <w:rPr>
          <w:rFonts w:eastAsiaTheme="minorHAnsi"/>
          <w:b/>
          <w:sz w:val="28"/>
          <w:szCs w:val="28"/>
          <w:lang w:eastAsia="en-US"/>
        </w:rPr>
        <w:t xml:space="preserve">5 года</w:t>
      </w:r>
      <w:r>
        <w:rPr>
          <w:rFonts w:eastAsiaTheme="minorHAnsi"/>
          <w:b/>
          <w:sz w:val="28"/>
          <w:szCs w:val="28"/>
          <w:lang w:eastAsia="en-US"/>
        </w:rPr>
      </w:r>
      <w:r>
        <w:rPr>
          <w:rFonts w:eastAsiaTheme="minorHAnsi"/>
          <w:b/>
          <w:sz w:val="28"/>
          <w:szCs w:val="28"/>
          <w:lang w:eastAsia="en-US"/>
        </w:rPr>
      </w:r>
    </w:p>
    <w:p>
      <w:pPr>
        <w:pStyle w:val="876"/>
        <w:ind w:firstLine="0"/>
        <w:jc w:val="both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8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26"/>
        <w:gridCol w:w="5749"/>
        <w:gridCol w:w="1774"/>
        <w:gridCol w:w="1521"/>
      </w:tblGrid>
      <w:tr>
        <w:trPr>
          <w:jc w:val="center"/>
          <w:trHeight w:val="255"/>
        </w:trPr>
        <w:tc>
          <w:tcPr>
            <w:tcW w:w="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№ п/п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74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Наименование муниципального района, охотничьего угодья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Расчетная численность (особей)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Квота (особей)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jc w:val="center"/>
          <w:trHeight w:val="255"/>
        </w:trPr>
        <w:tc>
          <w:tcPr>
            <w:tcW w:w="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574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Болотнинский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73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jc w:val="center"/>
          <w:trHeight w:val="255"/>
        </w:trPr>
        <w:tc>
          <w:tcPr>
            <w:tcW w:w="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5749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Общедоступные охотничьи угодья участок «Центральный»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jc w:val="center"/>
          <w:trHeight w:val="255"/>
        </w:trPr>
        <w:tc>
          <w:tcPr>
            <w:tcW w:w="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749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«Болотнинское» участок «Кунчурукский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jc w:val="center"/>
          <w:trHeight w:val="255"/>
        </w:trPr>
        <w:tc>
          <w:tcPr>
            <w:tcW w:w="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749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«Гвардейское» (ранее «планируемое охотничье угодье № 3.2»)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jc w:val="center"/>
          <w:trHeight w:val="255"/>
        </w:trPr>
        <w:tc>
          <w:tcPr>
            <w:tcW w:w="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749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Венгеровский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jc w:val="center"/>
          <w:trHeight w:val="255"/>
        </w:trPr>
        <w:tc>
          <w:tcPr>
            <w:tcW w:w="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5749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«Удачное» (ранее «планируемое охотничье угодье № 4.2»)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jc w:val="center"/>
          <w:trHeight w:val="255"/>
        </w:trPr>
        <w:tc>
          <w:tcPr>
            <w:tcW w:w="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74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Доволенский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81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jc w:val="center"/>
          <w:trHeight w:val="255"/>
        </w:trPr>
        <w:tc>
          <w:tcPr>
            <w:tcW w:w="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5749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«Суздальское»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81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jc w:val="center"/>
          <w:trHeight w:val="255"/>
        </w:trPr>
        <w:tc>
          <w:tcPr>
            <w:tcW w:w="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574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Каргатский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82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jc w:val="center"/>
          <w:trHeight w:val="255"/>
        </w:trPr>
        <w:tc>
          <w:tcPr>
            <w:tcW w:w="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5749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Общедоступные охотничьи угодья участок «Центральный»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jc w:val="center"/>
          <w:trHeight w:val="255"/>
        </w:trPr>
        <w:tc>
          <w:tcPr>
            <w:tcW w:w="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5749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«Торокское»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jc w:val="center"/>
          <w:trHeight w:val="255"/>
        </w:trPr>
        <w:tc>
          <w:tcPr>
            <w:tcW w:w="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749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«Хохловское»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jc w:val="center"/>
          <w:trHeight w:val="255"/>
        </w:trPr>
        <w:tc>
          <w:tcPr>
            <w:tcW w:w="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74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Колыванский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469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154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jc w:val="center"/>
          <w:trHeight w:val="255"/>
        </w:trPr>
        <w:tc>
          <w:tcPr>
            <w:tcW w:w="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749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Общедоступные охотничьи угодья участок «Западный»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jc w:val="center"/>
          <w:trHeight w:val="255"/>
        </w:trPr>
        <w:tc>
          <w:tcPr>
            <w:tcW w:w="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749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Общедоступные охотничьи угодья участок «Пристань почта»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jc w:val="center"/>
          <w:trHeight w:val="255"/>
        </w:trPr>
        <w:tc>
          <w:tcPr>
            <w:tcW w:w="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749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Общедоступные охотничьи угодья участок «Северный»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jc w:val="center"/>
          <w:trHeight w:val="255"/>
        </w:trPr>
        <w:tc>
          <w:tcPr>
            <w:tcW w:w="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749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Общедоступные охотничьи угодья участок «Центральный»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jc w:val="center"/>
          <w:trHeight w:val="255"/>
        </w:trPr>
        <w:tc>
          <w:tcPr>
            <w:tcW w:w="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13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5749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«Бакса»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72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jc w:val="center"/>
          <w:trHeight w:val="255"/>
        </w:trPr>
        <w:tc>
          <w:tcPr>
            <w:tcW w:w="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749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«Кедровое» (ранее «планируемое охотничье угодье № 10.3»)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jc w:val="center"/>
          <w:trHeight w:val="255"/>
        </w:trPr>
        <w:tc>
          <w:tcPr>
            <w:tcW w:w="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749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«Колыванское» участок «Минзелинский»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jc w:val="center"/>
          <w:trHeight w:val="255"/>
        </w:trPr>
        <w:tc>
          <w:tcPr>
            <w:tcW w:w="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16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5749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«Колыванское» участки «Рямовский», «Черный борок»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117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jc w:val="center"/>
          <w:trHeight w:val="255"/>
        </w:trPr>
        <w:tc>
          <w:tcPr>
            <w:tcW w:w="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749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«Междуречье» (ранее «планируемое охотничье угодье № 10.4»)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jc w:val="center"/>
          <w:trHeight w:val="255"/>
        </w:trPr>
        <w:tc>
          <w:tcPr>
            <w:tcW w:w="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749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«Таежный угол» (ранее «планируемое охотничье угодье № 10.2»)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jc w:val="center"/>
          <w:trHeight w:val="255"/>
        </w:trPr>
        <w:tc>
          <w:tcPr>
            <w:tcW w:w="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749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«Шегарское»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jc w:val="center"/>
          <w:trHeight w:val="255"/>
        </w:trPr>
        <w:tc>
          <w:tcPr>
            <w:tcW w:w="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574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Коченевский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91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jc w:val="center"/>
          <w:trHeight w:val="255"/>
        </w:trPr>
        <w:tc>
          <w:tcPr>
            <w:tcW w:w="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749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«Дупленское» участок «Верх-Карасукский»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jc w:val="center"/>
          <w:trHeight w:val="255"/>
        </w:trPr>
        <w:tc>
          <w:tcPr>
            <w:tcW w:w="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749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«Дупленское» участок «Квашнинский»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jc w:val="center"/>
          <w:trHeight w:val="255"/>
        </w:trPr>
        <w:tc>
          <w:tcPr>
            <w:tcW w:w="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22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5749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«Моховое»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jc w:val="center"/>
          <w:trHeight w:val="255"/>
        </w:trPr>
        <w:tc>
          <w:tcPr>
            <w:tcW w:w="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23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5749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«Сибирский лес»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jc w:val="center"/>
          <w:trHeight w:val="255"/>
        </w:trPr>
        <w:tc>
          <w:tcPr>
            <w:tcW w:w="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74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Куйбышевский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83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jc w:val="center"/>
          <w:trHeight w:val="255"/>
        </w:trPr>
        <w:tc>
          <w:tcPr>
            <w:tcW w:w="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749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Общедоступные охотничьи угодья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jc w:val="center"/>
          <w:trHeight w:val="255"/>
        </w:trPr>
        <w:tc>
          <w:tcPr>
            <w:tcW w:w="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749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«Хорос-1» (ранее «планируемое охотничье угодье № 14.3»)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jc w:val="center"/>
          <w:trHeight w:val="255"/>
        </w:trPr>
        <w:tc>
          <w:tcPr>
            <w:tcW w:w="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74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Кыштовский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756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263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jc w:val="center"/>
          <w:trHeight w:val="255"/>
        </w:trPr>
        <w:tc>
          <w:tcPr>
            <w:tcW w:w="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749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Общедоступные охотничьи угодья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663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232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jc w:val="center"/>
          <w:trHeight w:val="255"/>
        </w:trPr>
        <w:tc>
          <w:tcPr>
            <w:tcW w:w="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749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Научно-опытное хозяйство Западно-Сибирского филиала ВНИИОЗ РАСХН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jc w:val="center"/>
          <w:trHeight w:val="255"/>
        </w:trPr>
        <w:tc>
          <w:tcPr>
            <w:tcW w:w="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28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5749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«Таёжник»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jc w:val="center"/>
          <w:trHeight w:val="255"/>
        </w:trPr>
        <w:tc>
          <w:tcPr>
            <w:tcW w:w="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574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Мошковский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15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jc w:val="center"/>
          <w:trHeight w:val="255"/>
        </w:trPr>
        <w:tc>
          <w:tcPr>
            <w:tcW w:w="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749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«Мошковское»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jc w:val="center"/>
          <w:trHeight w:val="255"/>
        </w:trPr>
        <w:tc>
          <w:tcPr>
            <w:tcW w:w="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74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Северный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463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162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jc w:val="center"/>
          <w:trHeight w:val="255"/>
        </w:trPr>
        <w:tc>
          <w:tcPr>
            <w:tcW w:w="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30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5749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Общедоступные охотничьи угодья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463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162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jc w:val="center"/>
          <w:trHeight w:val="255"/>
        </w:trPr>
        <w:tc>
          <w:tcPr>
            <w:tcW w:w="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74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Убинский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485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168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jc w:val="center"/>
          <w:trHeight w:val="255"/>
        </w:trPr>
        <w:tc>
          <w:tcPr>
            <w:tcW w:w="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749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Общедоступные охотничьи угодья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106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jc w:val="center"/>
          <w:trHeight w:val="255"/>
        </w:trPr>
        <w:tc>
          <w:tcPr>
            <w:tcW w:w="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749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«Ича»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jc w:val="center"/>
          <w:trHeight w:val="255"/>
        </w:trPr>
        <w:tc>
          <w:tcPr>
            <w:tcW w:w="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749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«Омь»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213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74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jc w:val="center"/>
          <w:trHeight w:val="255"/>
        </w:trPr>
        <w:tc>
          <w:tcPr>
            <w:tcW w:w="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749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«Убинское» (МВОО СибВО)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60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jc w:val="center"/>
          <w:trHeight w:val="255"/>
        </w:trPr>
        <w:tc>
          <w:tcPr>
            <w:tcW w:w="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35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5749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«Убинское» (ОО «НОООиР»)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jc w:val="center"/>
          <w:trHeight w:val="255"/>
        </w:trPr>
        <w:tc>
          <w:tcPr>
            <w:tcW w:w="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749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«Сенчинское»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jc w:val="center"/>
          <w:trHeight w:val="255"/>
        </w:trPr>
        <w:tc>
          <w:tcPr>
            <w:tcW w:w="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37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5749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«Невское» (ранее «планируемое охотничье угодье № 25.3»)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jc w:val="center"/>
          <w:trHeight w:val="255"/>
        </w:trPr>
        <w:tc>
          <w:tcPr>
            <w:tcW w:w="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74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Усть-Таркский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tcW w:w="8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749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«Беркут» (ранее «планируемое охотничье угодье № 26.2»)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2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tcW w:w="8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749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Чулымский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162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2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tcW w:w="8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749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Общедоступные охотничьи угодья участок «Западный»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2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tcW w:w="8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749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Общедоступные охотничьи угодья участок «Северо-Восточный»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2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tcW w:w="8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749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«Тойское»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116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2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40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55"/>
        </w:trPr>
        <w:tc>
          <w:tcPr>
            <w:tcW w:w="8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749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«Чулымское»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2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jc w:val="center"/>
          <w:trHeight w:val="255"/>
        </w:trPr>
        <w:tc>
          <w:tcPr>
            <w:gridSpan w:val="2"/>
            <w:tcW w:w="65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ИТОГО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17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2 763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15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925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</w:tbl>
    <w:p>
      <w:pPr>
        <w:pStyle w:val="876"/>
        <w:ind w:firstLine="709"/>
        <w:jc w:val="both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6"/>
        <w:contextualSpacing/>
        <w:ind w:firstLine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П</w:t>
      </w:r>
      <w:r>
        <w:rPr>
          <w:rFonts w:ascii="Times New Roman" w:hAnsi="Times New Roman" w:cs="Times New Roman"/>
          <w:sz w:val="23"/>
          <w:szCs w:val="23"/>
        </w:rPr>
        <w:t xml:space="preserve">рименяемые сокращения:</w:t>
      </w: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pStyle w:val="876"/>
        <w:contextualSpacing/>
        <w:ind w:firstLine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МВОО СибВО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–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межрегионал</w:t>
      </w:r>
      <w:r>
        <w:rPr>
          <w:rFonts w:ascii="Times New Roman" w:hAnsi="Times New Roman" w:cs="Times New Roman"/>
          <w:sz w:val="23"/>
          <w:szCs w:val="23"/>
        </w:rPr>
        <w:t xml:space="preserve">ьное военное общество охотников </w:t>
      </w:r>
      <w:r>
        <w:rPr>
          <w:rFonts w:ascii="Times New Roman" w:hAnsi="Times New Roman" w:cs="Times New Roman"/>
          <w:sz w:val="23"/>
          <w:szCs w:val="23"/>
        </w:rPr>
        <w:t xml:space="preserve">Сибирского военного округа;</w:t>
      </w: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pStyle w:val="876"/>
        <w:contextualSpacing/>
        <w:ind w:firstLine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ОО </w:t>
      </w:r>
      <w:r>
        <w:rPr>
          <w:rFonts w:ascii="Times New Roman" w:hAnsi="Times New Roman" w:cs="Times New Roman"/>
          <w:sz w:val="23"/>
          <w:szCs w:val="23"/>
        </w:rPr>
        <w:t xml:space="preserve">«</w:t>
      </w:r>
      <w:r>
        <w:rPr>
          <w:rFonts w:ascii="Times New Roman" w:hAnsi="Times New Roman" w:cs="Times New Roman"/>
          <w:sz w:val="23"/>
          <w:szCs w:val="23"/>
        </w:rPr>
        <w:t xml:space="preserve">Н</w:t>
      </w:r>
      <w:r>
        <w:rPr>
          <w:rFonts w:ascii="Times New Roman" w:hAnsi="Times New Roman" w:cs="Times New Roman"/>
          <w:sz w:val="23"/>
          <w:szCs w:val="23"/>
        </w:rPr>
        <w:t xml:space="preserve">ОООиР</w:t>
      </w:r>
      <w:r>
        <w:rPr>
          <w:rFonts w:ascii="Times New Roman" w:hAnsi="Times New Roman" w:cs="Times New Roman"/>
          <w:sz w:val="23"/>
          <w:szCs w:val="23"/>
        </w:rPr>
        <w:t xml:space="preserve">»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–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общественн</w:t>
      </w:r>
      <w:r>
        <w:rPr>
          <w:rFonts w:ascii="Times New Roman" w:hAnsi="Times New Roman" w:cs="Times New Roman"/>
          <w:sz w:val="23"/>
          <w:szCs w:val="23"/>
        </w:rPr>
        <w:t xml:space="preserve">ая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организация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«</w:t>
      </w:r>
      <w:r>
        <w:rPr>
          <w:rFonts w:ascii="Times New Roman" w:hAnsi="Times New Roman" w:cs="Times New Roman"/>
          <w:sz w:val="23"/>
          <w:szCs w:val="23"/>
        </w:rPr>
        <w:t xml:space="preserve">Новосибирское областное</w:t>
      </w:r>
      <w:r>
        <w:rPr>
          <w:rFonts w:ascii="Times New Roman" w:hAnsi="Times New Roman" w:cs="Times New Roman"/>
          <w:sz w:val="23"/>
          <w:szCs w:val="23"/>
        </w:rPr>
        <w:t xml:space="preserve"> общество охотников и рыболовов</w:t>
      </w:r>
      <w:r>
        <w:rPr>
          <w:rFonts w:ascii="Times New Roman" w:hAnsi="Times New Roman" w:cs="Times New Roman"/>
          <w:sz w:val="23"/>
          <w:szCs w:val="23"/>
        </w:rPr>
        <w:t xml:space="preserve">»</w:t>
      </w:r>
      <w:r>
        <w:rPr>
          <w:rFonts w:ascii="Times New Roman" w:hAnsi="Times New Roman" w:cs="Times New Roman"/>
          <w:sz w:val="23"/>
          <w:szCs w:val="23"/>
        </w:rPr>
        <w:t xml:space="preserve">.</w:t>
      </w: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pStyle w:val="876"/>
        <w:contextualSpacing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pStyle w:val="876"/>
        <w:contextualSpacing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sz w:val="23"/>
          <w:szCs w:val="23"/>
        </w:rPr>
      </w:r>
      <w:bookmarkStart w:id="0" w:name="_GoBack"/>
      <w:r>
        <w:rPr>
          <w:sz w:val="23"/>
          <w:szCs w:val="23"/>
        </w:rPr>
      </w:r>
      <w:bookmarkEnd w:id="0"/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pStyle w:val="876"/>
        <w:contextualSpacing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3"/>
          <w:szCs w:val="23"/>
        </w:rPr>
        <w:t xml:space="preserve">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567" w:bottom="1134" w:left="1417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64677492"/>
      <w:docPartObj>
        <w:docPartGallery w:val="Page Numbers (Top of Page)"/>
        <w:docPartUnique w:val="true"/>
      </w:docPartObj>
      <w:rPr/>
    </w:sdtPr>
    <w:sdtContent>
      <w:p>
        <w:pPr>
          <w:pStyle w:val="871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 xml:space="preserve"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sz w:val="20"/>
            <w:szCs w:val="20"/>
          </w:rPr>
        </w:r>
        <w:r>
          <w:rPr>
            <w:rFonts w:ascii="Times New Roman" w:hAnsi="Times New Roman" w:cs="Times New Roman"/>
            <w:sz w:val="20"/>
            <w:szCs w:val="20"/>
          </w:rPr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>
    <w:name w:val="Heading 1"/>
    <w:basedOn w:val="862"/>
    <w:next w:val="862"/>
    <w:link w:val="69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1">
    <w:name w:val="Heading 1 Char"/>
    <w:basedOn w:val="863"/>
    <w:link w:val="690"/>
    <w:uiPriority w:val="9"/>
    <w:rPr>
      <w:rFonts w:ascii="Arial" w:hAnsi="Arial" w:eastAsia="Arial" w:cs="Arial"/>
      <w:sz w:val="40"/>
      <w:szCs w:val="40"/>
    </w:rPr>
  </w:style>
  <w:style w:type="paragraph" w:styleId="692">
    <w:name w:val="Heading 2"/>
    <w:basedOn w:val="862"/>
    <w:next w:val="862"/>
    <w:link w:val="6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3">
    <w:name w:val="Heading 2 Char"/>
    <w:basedOn w:val="863"/>
    <w:link w:val="692"/>
    <w:uiPriority w:val="9"/>
    <w:rPr>
      <w:rFonts w:ascii="Arial" w:hAnsi="Arial" w:eastAsia="Arial" w:cs="Arial"/>
      <w:sz w:val="34"/>
    </w:rPr>
  </w:style>
  <w:style w:type="paragraph" w:styleId="694">
    <w:name w:val="Heading 3"/>
    <w:basedOn w:val="862"/>
    <w:next w:val="862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5">
    <w:name w:val="Heading 3 Char"/>
    <w:basedOn w:val="863"/>
    <w:link w:val="694"/>
    <w:uiPriority w:val="9"/>
    <w:rPr>
      <w:rFonts w:ascii="Arial" w:hAnsi="Arial" w:eastAsia="Arial" w:cs="Arial"/>
      <w:sz w:val="30"/>
      <w:szCs w:val="30"/>
    </w:rPr>
  </w:style>
  <w:style w:type="paragraph" w:styleId="696">
    <w:name w:val="Heading 4"/>
    <w:basedOn w:val="862"/>
    <w:next w:val="862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7">
    <w:name w:val="Heading 4 Char"/>
    <w:basedOn w:val="863"/>
    <w:link w:val="696"/>
    <w:uiPriority w:val="9"/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862"/>
    <w:next w:val="862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9">
    <w:name w:val="Heading 5 Char"/>
    <w:basedOn w:val="863"/>
    <w:link w:val="698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62"/>
    <w:next w:val="862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basedOn w:val="863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62"/>
    <w:next w:val="862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basedOn w:val="863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62"/>
    <w:next w:val="862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basedOn w:val="863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62"/>
    <w:next w:val="862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63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08">
    <w:name w:val="Title"/>
    <w:basedOn w:val="862"/>
    <w:next w:val="862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basedOn w:val="863"/>
    <w:link w:val="708"/>
    <w:uiPriority w:val="10"/>
    <w:rPr>
      <w:sz w:val="48"/>
      <w:szCs w:val="48"/>
    </w:rPr>
  </w:style>
  <w:style w:type="paragraph" w:styleId="710">
    <w:name w:val="Subtitle"/>
    <w:basedOn w:val="862"/>
    <w:next w:val="862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basedOn w:val="863"/>
    <w:link w:val="710"/>
    <w:uiPriority w:val="11"/>
    <w:rPr>
      <w:sz w:val="24"/>
      <w:szCs w:val="24"/>
    </w:rPr>
  </w:style>
  <w:style w:type="paragraph" w:styleId="712">
    <w:name w:val="Quote"/>
    <w:basedOn w:val="862"/>
    <w:next w:val="862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2"/>
    <w:next w:val="862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character" w:styleId="716">
    <w:name w:val="Header Char"/>
    <w:basedOn w:val="863"/>
    <w:link w:val="871"/>
    <w:uiPriority w:val="99"/>
  </w:style>
  <w:style w:type="character" w:styleId="717">
    <w:name w:val="Footer Char"/>
    <w:basedOn w:val="863"/>
    <w:link w:val="878"/>
    <w:uiPriority w:val="99"/>
  </w:style>
  <w:style w:type="paragraph" w:styleId="718">
    <w:name w:val="Caption"/>
    <w:basedOn w:val="862"/>
    <w:next w:val="86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9">
    <w:name w:val="Caption Char"/>
    <w:basedOn w:val="718"/>
    <w:link w:val="878"/>
    <w:uiPriority w:val="99"/>
  </w:style>
  <w:style w:type="table" w:styleId="720">
    <w:name w:val="Table Grid Light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Plain Table 1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2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4">
    <w:name w:val="Plain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Plain Table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6">
    <w:name w:val="Grid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8">
    <w:name w:val="Grid Table 4 - Accent 1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9">
    <w:name w:val="Grid Table 4 - Accent 2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0">
    <w:name w:val="Grid Table 4 - Accent 3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1">
    <w:name w:val="Grid Table 4 - Accent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2">
    <w:name w:val="Grid Table 4 - Accent 5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3">
    <w:name w:val="Grid Table 4 - Accent 6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4">
    <w:name w:val="Grid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1">
    <w:name w:val="Grid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2">
    <w:name w:val="Grid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3">
    <w:name w:val="Grid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4">
    <w:name w:val="Grid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5">
    <w:name w:val="Grid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6">
    <w:name w:val="Grid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3">
    <w:name w:val="List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4">
    <w:name w:val="List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5">
    <w:name w:val="List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6">
    <w:name w:val="List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7">
    <w:name w:val="List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8">
    <w:name w:val="List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9">
    <w:name w:val="List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1">
    <w:name w:val="List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2">
    <w:name w:val="List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3">
    <w:name w:val="List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4">
    <w:name w:val="List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5">
    <w:name w:val="List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6">
    <w:name w:val="List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7">
    <w:name w:val="List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8">
    <w:name w:val="List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9">
    <w:name w:val="List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0">
    <w:name w:val="List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1">
    <w:name w:val="List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2">
    <w:name w:val="List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3">
    <w:name w:val="List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4">
    <w:name w:val="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6">
    <w:name w:val="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7">
    <w:name w:val="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8">
    <w:name w:val="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9">
    <w:name w:val="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0">
    <w:name w:val="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1">
    <w:name w:val="Bordered &amp; 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Bordered &amp; 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3">
    <w:name w:val="Bordered &amp; 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4">
    <w:name w:val="Bordered &amp; 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5">
    <w:name w:val="Bordered &amp; 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6">
    <w:name w:val="Bordered &amp; 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7">
    <w:name w:val="Bordered &amp; 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8">
    <w:name w:val="Bordered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9">
    <w:name w:val="Bordered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0">
    <w:name w:val="Bordered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1">
    <w:name w:val="Bordered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2">
    <w:name w:val="Bordered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3">
    <w:name w:val="Bordered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4">
    <w:name w:val="Bordered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5">
    <w:name w:val="footnote text"/>
    <w:basedOn w:val="862"/>
    <w:link w:val="846"/>
    <w:uiPriority w:val="99"/>
    <w:semiHidden/>
    <w:unhideWhenUsed/>
    <w:pPr>
      <w:spacing w:after="40" w:line="240" w:lineRule="auto"/>
    </w:pPr>
    <w:rPr>
      <w:sz w:val="18"/>
    </w:rPr>
  </w:style>
  <w:style w:type="character" w:styleId="846">
    <w:name w:val="Footnote Text Char"/>
    <w:link w:val="845"/>
    <w:uiPriority w:val="99"/>
    <w:rPr>
      <w:sz w:val="18"/>
    </w:rPr>
  </w:style>
  <w:style w:type="character" w:styleId="847">
    <w:name w:val="footnote reference"/>
    <w:basedOn w:val="863"/>
    <w:uiPriority w:val="99"/>
    <w:unhideWhenUsed/>
    <w:rPr>
      <w:vertAlign w:val="superscript"/>
    </w:rPr>
  </w:style>
  <w:style w:type="paragraph" w:styleId="848">
    <w:name w:val="endnote text"/>
    <w:basedOn w:val="862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basedOn w:val="863"/>
    <w:uiPriority w:val="99"/>
    <w:semiHidden/>
    <w:unhideWhenUsed/>
    <w:rPr>
      <w:vertAlign w:val="superscript"/>
    </w:rPr>
  </w:style>
  <w:style w:type="paragraph" w:styleId="851">
    <w:name w:val="toc 1"/>
    <w:basedOn w:val="862"/>
    <w:next w:val="862"/>
    <w:uiPriority w:val="39"/>
    <w:unhideWhenUsed/>
    <w:pPr>
      <w:ind w:left="0" w:right="0" w:firstLine="0"/>
      <w:spacing w:after="57"/>
    </w:pPr>
  </w:style>
  <w:style w:type="paragraph" w:styleId="852">
    <w:name w:val="toc 2"/>
    <w:basedOn w:val="862"/>
    <w:next w:val="862"/>
    <w:uiPriority w:val="39"/>
    <w:unhideWhenUsed/>
    <w:pPr>
      <w:ind w:left="283" w:right="0" w:firstLine="0"/>
      <w:spacing w:after="57"/>
    </w:pPr>
  </w:style>
  <w:style w:type="paragraph" w:styleId="853">
    <w:name w:val="toc 3"/>
    <w:basedOn w:val="862"/>
    <w:next w:val="862"/>
    <w:uiPriority w:val="39"/>
    <w:unhideWhenUsed/>
    <w:pPr>
      <w:ind w:left="567" w:right="0" w:firstLine="0"/>
      <w:spacing w:after="57"/>
    </w:pPr>
  </w:style>
  <w:style w:type="paragraph" w:styleId="854">
    <w:name w:val="toc 4"/>
    <w:basedOn w:val="862"/>
    <w:next w:val="862"/>
    <w:uiPriority w:val="39"/>
    <w:unhideWhenUsed/>
    <w:pPr>
      <w:ind w:left="850" w:right="0" w:firstLine="0"/>
      <w:spacing w:after="57"/>
    </w:pPr>
  </w:style>
  <w:style w:type="paragraph" w:styleId="855">
    <w:name w:val="toc 5"/>
    <w:basedOn w:val="862"/>
    <w:next w:val="862"/>
    <w:uiPriority w:val="39"/>
    <w:unhideWhenUsed/>
    <w:pPr>
      <w:ind w:left="1134" w:right="0" w:firstLine="0"/>
      <w:spacing w:after="57"/>
    </w:pPr>
  </w:style>
  <w:style w:type="paragraph" w:styleId="856">
    <w:name w:val="toc 6"/>
    <w:basedOn w:val="862"/>
    <w:next w:val="862"/>
    <w:uiPriority w:val="39"/>
    <w:unhideWhenUsed/>
    <w:pPr>
      <w:ind w:left="1417" w:right="0" w:firstLine="0"/>
      <w:spacing w:after="57"/>
    </w:pPr>
  </w:style>
  <w:style w:type="paragraph" w:styleId="857">
    <w:name w:val="toc 7"/>
    <w:basedOn w:val="862"/>
    <w:next w:val="862"/>
    <w:uiPriority w:val="39"/>
    <w:unhideWhenUsed/>
    <w:pPr>
      <w:ind w:left="1701" w:right="0" w:firstLine="0"/>
      <w:spacing w:after="57"/>
    </w:pPr>
  </w:style>
  <w:style w:type="paragraph" w:styleId="858">
    <w:name w:val="toc 8"/>
    <w:basedOn w:val="862"/>
    <w:next w:val="862"/>
    <w:uiPriority w:val="39"/>
    <w:unhideWhenUsed/>
    <w:pPr>
      <w:ind w:left="1984" w:right="0" w:firstLine="0"/>
      <w:spacing w:after="57"/>
    </w:pPr>
  </w:style>
  <w:style w:type="paragraph" w:styleId="859">
    <w:name w:val="toc 9"/>
    <w:basedOn w:val="862"/>
    <w:next w:val="862"/>
    <w:uiPriority w:val="39"/>
    <w:unhideWhenUsed/>
    <w:pPr>
      <w:ind w:left="2268" w:right="0" w:firstLine="0"/>
      <w:spacing w:after="57"/>
    </w:pPr>
  </w:style>
  <w:style w:type="paragraph" w:styleId="860">
    <w:name w:val="TOC Heading"/>
    <w:uiPriority w:val="39"/>
    <w:unhideWhenUsed/>
  </w:style>
  <w:style w:type="paragraph" w:styleId="861">
    <w:name w:val="table of figures"/>
    <w:basedOn w:val="862"/>
    <w:next w:val="862"/>
    <w:uiPriority w:val="99"/>
    <w:unhideWhenUsed/>
    <w:pPr>
      <w:spacing w:after="0" w:afterAutospacing="0"/>
    </w:pPr>
  </w:style>
  <w:style w:type="paragraph" w:styleId="862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63" w:default="1">
    <w:name w:val="Default Paragraph Font"/>
    <w:uiPriority w:val="1"/>
    <w:semiHidden/>
    <w:unhideWhenUsed/>
  </w:style>
  <w:style w:type="table" w:styleId="8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5" w:default="1">
    <w:name w:val="No List"/>
    <w:uiPriority w:val="99"/>
    <w:semiHidden/>
    <w:unhideWhenUsed/>
  </w:style>
  <w:style w:type="paragraph" w:styleId="866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67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868">
    <w:name w:val="Balloon Text"/>
    <w:basedOn w:val="862"/>
    <w:link w:val="869"/>
    <w:uiPriority w:val="99"/>
    <w:semiHidden/>
    <w:unhideWhenUsed/>
    <w:rPr>
      <w:rFonts w:ascii="Tahoma" w:hAnsi="Tahoma" w:cs="Tahoma"/>
      <w:sz w:val="16"/>
      <w:szCs w:val="16"/>
    </w:rPr>
  </w:style>
  <w:style w:type="character" w:styleId="869" w:customStyle="1">
    <w:name w:val="Текст выноски Знак"/>
    <w:basedOn w:val="863"/>
    <w:link w:val="868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870" w:customStyle="1">
    <w:name w:val="Верхний колонтитул Знак"/>
    <w:basedOn w:val="863"/>
    <w:link w:val="871"/>
    <w:uiPriority w:val="99"/>
  </w:style>
  <w:style w:type="paragraph" w:styleId="871">
    <w:name w:val="Header"/>
    <w:basedOn w:val="862"/>
    <w:link w:val="870"/>
    <w:uiPriority w:val="99"/>
    <w:unhideWhenUsed/>
    <w:pPr>
      <w:tabs>
        <w:tab w:val="center" w:pos="4677" w:leader="none"/>
        <w:tab w:val="right" w:pos="9355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872" w:customStyle="1">
    <w:name w:val="ConsPlusCell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table" w:styleId="873">
    <w:name w:val="Table Grid"/>
    <w:basedOn w:val="864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874">
    <w:name w:val="Hyperlink"/>
    <w:basedOn w:val="863"/>
    <w:semiHidden/>
    <w:unhideWhenUsed/>
    <w:rPr>
      <w:color w:val="0000ff"/>
      <w:u w:val="single"/>
    </w:rPr>
  </w:style>
  <w:style w:type="paragraph" w:styleId="875">
    <w:name w:val="List Paragraph"/>
    <w:basedOn w:val="862"/>
    <w:uiPriority w:val="34"/>
    <w:qFormat/>
    <w:pPr>
      <w:contextualSpacing/>
      <w:ind w:left="720"/>
    </w:pPr>
  </w:style>
  <w:style w:type="paragraph" w:styleId="876" w:customStyle="1">
    <w:name w:val="ConsPlusNormal"/>
    <w:uiPriority w:val="99"/>
    <w:pPr>
      <w:ind w:firstLine="720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paragraph" w:styleId="877" w:customStyle="1">
    <w:name w:val="ConsPlusTitle"/>
    <w:pPr>
      <w:spacing w:after="0" w:line="240" w:lineRule="auto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878">
    <w:name w:val="Footer"/>
    <w:basedOn w:val="862"/>
    <w:link w:val="87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9" w:customStyle="1">
    <w:name w:val="Нижний колонтитул Знак"/>
    <w:basedOn w:val="863"/>
    <w:link w:val="878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7D91A-E65A-4CD2-B246-6162C6AC4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revision>8</cp:revision>
  <dcterms:created xsi:type="dcterms:W3CDTF">2022-06-30T10:50:00Z</dcterms:created>
  <dcterms:modified xsi:type="dcterms:W3CDTF">2024-07-11T03:07:17Z</dcterms:modified>
</cp:coreProperties>
</file>