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 xml:space="preserve">добычи охотничьих ресурсов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</w:t>
      </w:r>
      <w:r>
        <w:rPr>
          <w:rFonts w:eastAsia="Calibri"/>
          <w:sz w:val="28"/>
          <w:szCs w:val="28"/>
          <w:lang w:eastAsia="en-US"/>
        </w:rPr>
        <w:t xml:space="preserve">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</w:t>
      </w:r>
      <w:r>
        <w:rPr>
          <w:rFonts w:eastAsia="Calibri"/>
          <w:sz w:val="28"/>
          <w:szCs w:val="28"/>
          <w:lang w:eastAsia="en-US"/>
        </w:rPr>
        <w:t xml:space="preserve">огии Новосибирской области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 10.06.2024 № 704-НПА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ской области в сезоне охоты 2024-2025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 гг.»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в целях обеспечения устойчивого использования охотничьих ресурсов 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</w:t>
      </w:r>
      <w:r>
        <w:rPr>
          <w:rFonts w:eastAsia="Calibri"/>
          <w:sz w:val="28"/>
          <w:szCs w:val="28"/>
          <w:lang w:eastAsia="en-US"/>
        </w:rPr>
        <w:t xml:space="preserve">ения, на период с 1 августа 2024 года до 1 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квоты добычи медведя бурого для каждого охотничьего угодья на 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 1 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квоты добычи барсука для каждого охотничьего угодья на 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 1 августа 2025</w:t>
      </w:r>
      <w:r>
        <w:rPr>
          <w:rFonts w:eastAsia="Calibri"/>
          <w:sz w:val="28"/>
          <w:szCs w:val="28"/>
          <w:lang w:eastAsia="en-US"/>
        </w:rPr>
        <w:t xml:space="preserve"> года.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Признать </w:t>
      </w:r>
      <w:r>
        <w:rPr>
          <w:rFonts w:eastAsia="Calibri"/>
          <w:sz w:val="28"/>
          <w:szCs w:val="28"/>
          <w:lang w:eastAsia="en-US"/>
        </w:rPr>
        <w:t xml:space="preserve">утратившим силу с 1 августа 2024</w:t>
      </w:r>
      <w:r>
        <w:rPr>
          <w:rFonts w:eastAsia="Calibri"/>
          <w:sz w:val="28"/>
          <w:szCs w:val="28"/>
          <w:lang w:eastAsia="en-US"/>
        </w:rPr>
        <w:t xml:space="preserve"> года постановление Губернатора Новосибирской области от </w:t>
      </w:r>
      <w:r>
        <w:rPr>
          <w:rFonts w:eastAsia="Calibri"/>
          <w:sz w:val="28"/>
          <w:szCs w:val="28"/>
          <w:lang w:eastAsia="en-US"/>
        </w:rPr>
        <w:t xml:space="preserve">24</w:t>
      </w:r>
      <w:r>
        <w:rPr>
          <w:rFonts w:eastAsia="Calibri"/>
          <w:sz w:val="28"/>
          <w:szCs w:val="28"/>
          <w:lang w:eastAsia="en-US"/>
        </w:rPr>
        <w:t xml:space="preserve">.07.202</w:t>
      </w:r>
      <w:r>
        <w:rPr>
          <w:rFonts w:eastAsia="Calibri"/>
          <w:sz w:val="28"/>
          <w:szCs w:val="28"/>
          <w:lang w:eastAsia="en-US"/>
        </w:rPr>
        <w:t xml:space="preserve">3 № 151</w:t>
      </w:r>
      <w:r>
        <w:rPr>
          <w:rFonts w:eastAsia="Calibr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</w:t>
      </w:r>
      <w:r>
        <w:rPr>
          <w:rFonts w:eastAsia="Calibri"/>
          <w:sz w:val="28"/>
          <w:szCs w:val="28"/>
          <w:lang w:eastAsia="en-US"/>
        </w:rPr>
        <w:t xml:space="preserve">области».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line="244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Е.А. Шестернин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51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70</w:t>
      </w:r>
      <w:r>
        <w:rPr>
          <w:sz w:val="18"/>
          <w:szCs w:val="18"/>
        </w:rPr>
      </w:r>
      <w:r>
        <w:rPr>
          <w:sz w:val="18"/>
          <w:szCs w:val="18"/>
        </w:rPr>
      </w:r>
      <w:r/>
      <w:r>
        <w:rPr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4"/>
    <w:uiPriority w:val="99"/>
  </w:style>
  <w:style w:type="character" w:styleId="710">
    <w:name w:val="Footer Char"/>
    <w:basedOn w:val="856"/>
    <w:link w:val="870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1">
    <w:name w:val="Balloon Text"/>
    <w:basedOn w:val="855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3" w:customStyle="1">
    <w:name w:val="Верхний колонтитул Знак"/>
    <w:basedOn w:val="856"/>
    <w:link w:val="864"/>
    <w:uiPriority w:val="99"/>
  </w:style>
  <w:style w:type="paragraph" w:styleId="864">
    <w:name w:val="Header"/>
    <w:basedOn w:val="855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66">
    <w:name w:val="Table Grid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7">
    <w:name w:val="Hyperlink"/>
    <w:basedOn w:val="856"/>
    <w:unhideWhenUsed/>
    <w:rPr>
      <w:color w:val="0000ff"/>
      <w:u w:val="single"/>
    </w:rPr>
  </w:style>
  <w:style w:type="paragraph" w:styleId="86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70">
    <w:name w:val="Footer"/>
    <w:basedOn w:val="85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6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9</cp:revision>
  <dcterms:created xsi:type="dcterms:W3CDTF">2023-06-21T10:13:00Z</dcterms:created>
  <dcterms:modified xsi:type="dcterms:W3CDTF">2024-06-20T08:48:24Z</dcterms:modified>
</cp:coreProperties>
</file>