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tabs>
          <w:tab w:val="left" w:pos="5670" w:leader="none"/>
        </w:tabs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tabs>
          <w:tab w:val="left" w:pos="5670" w:leader="none"/>
        </w:tabs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Новосибирской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остановление Правительства Новос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ибирской области от 10.03.2022 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79-п «О государственной информационной системе Новосибирской области «Карта жителя Новосибирской области»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Theme="minorHAnsi"/>
          <w:bCs/>
          <w:caps/>
          <w:color w:val="000000"/>
          <w:sz w:val="28"/>
          <w:szCs w:val="28"/>
        </w:rPr>
      </w:pPr>
      <w:r>
        <w:rPr>
          <w:rFonts w:ascii="Times New Roman" w:hAnsi="Times New Roman" w:eastAsiaTheme="minorHAnsi"/>
          <w:bCs/>
          <w:caps/>
          <w:color w:val="000000"/>
          <w:sz w:val="28"/>
          <w:szCs w:val="28"/>
        </w:rPr>
      </w:r>
      <w:r>
        <w:rPr>
          <w:rFonts w:ascii="Times New Roman" w:hAnsi="Times New Roman" w:eastAsiaTheme="minorHAnsi"/>
          <w:bCs/>
          <w:cap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 о с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а н о в л я е 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Внести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</w:t>
      </w:r>
      <w: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остановление Правительства Новос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ибирской области от 10.03.2022 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79-п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государственной информационной системе Новосибирской области «Карта жителя Новосибирской области»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следующие изменения: 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pStyle w:val="681"/>
        <w:numPr>
          <w:ilvl w:val="0"/>
          <w:numId w:val="2"/>
        </w:numPr>
        <w:ind w:left="0"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 xml:space="preserve">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Пункт 1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Положения</w:t>
      </w:r>
      <w:r>
        <w:rPr>
          <w:rFonts w:ascii="Times New Roman" w:hAnsi="Times New Roman" w:eastAsiaTheme="minorEastAsia" w:cstheme="minorBidi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Theme="minorHAnsi" w:cstheme="minorBidi"/>
          <w:bCs/>
          <w:sz w:val="28"/>
          <w:szCs w:val="28"/>
        </w:rPr>
        <w:t xml:space="preserve">о</w:t>
      </w:r>
      <w:r>
        <w:rPr>
          <w:rFonts w:ascii="Times New Roman" w:hAnsi="Times New Roman" w:eastAsiaTheme="minorHAnsi" w:cstheme="minorBidi"/>
          <w:bCs/>
          <w:sz w:val="28"/>
          <w:szCs w:val="28"/>
        </w:rPr>
        <w:t xml:space="preserve"> государственной информационной системе Новосибирской области «Карта жителя Новосибирской области</w:t>
      </w:r>
      <w:r>
        <w:rPr>
          <w:rFonts w:ascii="Times New Roman" w:hAnsi="Times New Roman" w:eastAsiaTheme="minorHAnsi" w:cstheme="minorBidi"/>
          <w:bCs/>
          <w:sz w:val="28"/>
          <w:szCs w:val="28"/>
        </w:rPr>
        <w:t xml:space="preserve"> (далее – Положение)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после слов «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содержащейся в КЖ НСО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»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дополнить словами: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81"/>
        <w:ind w:left="0"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порядок предоставления государственных,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коммерческих услуг и сервисов с использованием КЖ НСО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81"/>
        <w:numPr>
          <w:ilvl w:val="0"/>
          <w:numId w:val="2"/>
        </w:numPr>
        <w:ind w:left="0"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 xml:space="preserve">Изложить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абзац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5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 пункта 2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Положения 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в следующей редакции:</w:t>
      </w:r>
      <w:r>
        <w:rPr>
          <w:rFonts w:ascii="Times New Roman" w:hAnsi="Times New Roman" w:eastAsiaTheme="minorHAnsi" w:cstheme="minorBid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Держатель Карты – физическое лицо, гражданин Российской Федерации, проживающий на территории Новосибирской области, имеющи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подтвержденную в Единой системе идентификации и аутентификации учетную запись Единого портала государственных и муниципальных услуг, подключивший национальный платежный инструмент – платежные карты «Мир», выпущенные любой кредитной организацией, к КЖ НСО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1"/>
        <w:numPr>
          <w:ilvl w:val="0"/>
          <w:numId w:val="2"/>
        </w:numPr>
        <w:ind w:left="0"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Дополнить пункт 2</w:t>
      </w:r>
      <w:r>
        <w:rPr>
          <w:rFonts w:ascii="Times New Roman" w:hAnsi="Times New Roman" w:eastAsiaTheme="minorHAnsi"/>
          <w:sz w:val="28"/>
          <w:szCs w:val="28"/>
        </w:rPr>
        <w:t xml:space="preserve"> Положения</w:t>
      </w:r>
      <w:r>
        <w:rPr>
          <w:rFonts w:ascii="Times New Roman" w:hAnsi="Times New Roman" w:eastAsiaTheme="minorHAnsi"/>
          <w:sz w:val="28"/>
          <w:szCs w:val="28"/>
        </w:rPr>
        <w:t xml:space="preserve"> следующими абзацами: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eastAsiaTheme="minorHAnsi"/>
          <w:sz w:val="28"/>
          <w:szCs w:val="28"/>
        </w:rPr>
        <w:t xml:space="preserve">Информационный обмен – обмен сведениями, в частности межведомственное информационное взаимодействие, необходимыми для реализации целей, задач и функций КЖ НСО, между КЖ НСО и Поставщиками сведений, Поставщиками услуг;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Поставщики сведений – органы государственной, муниципальной власти, государственные, муниципальные</w:t>
      </w:r>
      <w:r>
        <w:rPr>
          <w:rFonts w:ascii="Times New Roman" w:hAnsi="Times New Roman" w:eastAsiaTheme="minorHAnsi"/>
          <w:sz w:val="28"/>
          <w:szCs w:val="28"/>
        </w:rPr>
        <w:t xml:space="preserve"> организации, юридические лица, участвующие в Информационном обмене, предоставляющие сведения в целях подтверждения права предоставления Держателю Карты в его интересах государственных, муниципальных и коммерческих услуг и сервисов с использованием КЖ НСО;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Поставщик услуг – органы государственной, муниципальной власти, государственные, муниципальные организации, юридические лица, участвующие в Информационном обмене, осуществляющие деятельность по предоставлению Держателю Карты государственных, муниципальных</w:t>
      </w:r>
      <w:r>
        <w:rPr>
          <w:rFonts w:ascii="Times New Roman" w:hAnsi="Times New Roman" w:eastAsiaTheme="minorHAnsi"/>
          <w:sz w:val="28"/>
          <w:szCs w:val="28"/>
        </w:rPr>
        <w:t xml:space="preserve"> и</w:t>
      </w:r>
      <w:r>
        <w:rPr>
          <w:rFonts w:ascii="Times New Roman" w:hAnsi="Times New Roman" w:eastAsiaTheme="minorHAnsi"/>
          <w:sz w:val="28"/>
          <w:szCs w:val="28"/>
        </w:rPr>
        <w:t xml:space="preserve"> коммерческих услуг и сервисов с использованием КЖ НСО;</w:t>
      </w:r>
      <w:r>
        <w:rPr>
          <w:rFonts w:ascii="Times New Roman" w:hAnsi="Times New Roman" w:eastAsiaTheme="minorHAnsi"/>
          <w:sz w:val="28"/>
          <w:szCs w:val="28"/>
        </w:rPr>
        <w:t xml:space="preserve">».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pStyle w:val="681"/>
        <w:numPr>
          <w:ilvl w:val="0"/>
          <w:numId w:val="2"/>
        </w:numPr>
        <w:ind w:left="0"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Изложить абзац </w:t>
      </w:r>
      <w:r>
        <w:rPr>
          <w:rFonts w:ascii="Times New Roman" w:hAnsi="Times New Roman" w:eastAsiaTheme="minorHAnsi"/>
          <w:sz w:val="28"/>
          <w:szCs w:val="28"/>
        </w:rPr>
        <w:t xml:space="preserve">4</w:t>
      </w:r>
      <w:r>
        <w:rPr>
          <w:rFonts w:ascii="Times New Roman" w:hAnsi="Times New Roman" w:eastAsiaTheme="minorHAnsi"/>
          <w:sz w:val="28"/>
          <w:szCs w:val="28"/>
        </w:rPr>
        <w:t xml:space="preserve"> пункта 3</w:t>
      </w:r>
      <w:r>
        <w:rPr>
          <w:rFonts w:ascii="Times New Roman" w:hAnsi="Times New Roman" w:eastAsiaTheme="minorHAnsi"/>
          <w:sz w:val="28"/>
          <w:szCs w:val="28"/>
        </w:rPr>
        <w:t xml:space="preserve"> Положения</w:t>
      </w:r>
      <w:r>
        <w:rPr>
          <w:rFonts w:ascii="Times New Roman" w:hAnsi="Times New Roman" w:eastAsiaTheme="minorHAnsi"/>
          <w:sz w:val="28"/>
          <w:szCs w:val="28"/>
        </w:rPr>
        <w:t xml:space="preserve"> в следующей редакции: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eastAsiaTheme="minorHAnsi"/>
          <w:sz w:val="28"/>
          <w:szCs w:val="28"/>
        </w:rPr>
        <w:t xml:space="preserve">предоставления жителям Новосибирской области государственных, муниципальных и коммерческих услуг</w:t>
      </w:r>
      <w:r>
        <w:rPr>
          <w:rFonts w:ascii="Times New Roman" w:hAnsi="Times New Roman" w:eastAsiaTheme="minorHAnsi"/>
          <w:sz w:val="28"/>
          <w:szCs w:val="28"/>
        </w:rPr>
        <w:t xml:space="preserve">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, в том числе при оказании транспортных услуг, мер социальной поддержки, в сферах социального обслуживания, здравоохранения, при обращениях в многофункциональные центры предоставления государственных и муниципальных услуг на территории Новосибирской</w:t>
      </w:r>
      <w:r>
        <w:rPr>
          <w:rFonts w:ascii="Times New Roman" w:hAnsi="Times New Roman" w:eastAsiaTheme="minorHAnsi"/>
          <w:sz w:val="28"/>
          <w:szCs w:val="28"/>
        </w:rPr>
        <w:t xml:space="preserve"> области (далее - МФЦ), а также к хозяйствующим субъектам, осуществляющим розничную торговлю, выполнение работ и оказание платных услуг населению (далее - Хозяйствующие субъекты), с применением Карты и иных носителей информации, идентифицирующих держателя.</w:t>
      </w:r>
      <w:r>
        <w:rPr>
          <w:rFonts w:ascii="Times New Roman" w:hAnsi="Times New Roman" w:eastAsiaTheme="minorHAnsi"/>
          <w:sz w:val="28"/>
          <w:szCs w:val="28"/>
        </w:rPr>
        <w:t xml:space="preserve">».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pStyle w:val="681"/>
        <w:numPr>
          <w:ilvl w:val="0"/>
          <w:numId w:val="2"/>
        </w:numPr>
        <w:ind w:left="0"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Дополнить</w:t>
      </w:r>
      <w:r>
        <w:rPr>
          <w:rFonts w:ascii="Times New Roman" w:hAnsi="Times New Roman" w:eastAsiaTheme="minorHAnsi"/>
          <w:sz w:val="28"/>
          <w:szCs w:val="28"/>
        </w:rPr>
        <w:t xml:space="preserve"> Положение</w:t>
      </w:r>
      <w:r>
        <w:rPr>
          <w:rFonts w:ascii="Times New Roman" w:hAnsi="Times New Roman" w:eastAsiaTheme="minorHAnsi"/>
          <w:sz w:val="28"/>
          <w:szCs w:val="28"/>
        </w:rPr>
        <w:t xml:space="preserve"> пунктом 15.1</w:t>
      </w:r>
      <w:r>
        <w:rPr>
          <w:rFonts w:ascii="Times New Roman" w:hAnsi="Times New Roman" w:eastAsiaTheme="minorHAnsi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eastAsiaTheme="minorHAnsi"/>
          <w:sz w:val="28"/>
          <w:szCs w:val="28"/>
        </w:rPr>
        <w:t xml:space="preserve">15.1. </w:t>
      </w:r>
      <w:r>
        <w:rPr>
          <w:rFonts w:ascii="Times New Roman" w:hAnsi="Times New Roman" w:eastAsiaTheme="minorHAnsi"/>
          <w:sz w:val="28"/>
          <w:szCs w:val="28"/>
        </w:rPr>
        <w:t xml:space="preserve">Для получения физическими лицами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</w:t>
      </w:r>
      <w:r>
        <w:rPr>
          <w:rFonts w:ascii="Times New Roman" w:hAnsi="Times New Roman" w:eastAsiaTheme="minorHAnsi"/>
          <w:sz w:val="28"/>
          <w:szCs w:val="28"/>
        </w:rPr>
        <w:t xml:space="preserve">и коммерческих услуг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,</w:t>
      </w:r>
      <w:r>
        <w:rPr>
          <w:rFonts w:ascii="Times New Roman" w:hAnsi="Times New Roman" w:eastAsiaTheme="minorHAnsi"/>
          <w:sz w:val="28"/>
          <w:szCs w:val="28"/>
        </w:rPr>
        <w:t xml:space="preserve"> доступных с использованием КЖ НСО, физические лица, имеющие право на получение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</w:t>
      </w:r>
      <w:r>
        <w:rPr>
          <w:rFonts w:ascii="Times New Roman" w:hAnsi="Times New Roman" w:eastAsiaTheme="minorHAnsi"/>
          <w:sz w:val="28"/>
          <w:szCs w:val="28"/>
        </w:rPr>
        <w:t xml:space="preserve">и коммерческих услуг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,</w:t>
      </w:r>
      <w:r>
        <w:rPr>
          <w:rFonts w:ascii="Times New Roman" w:hAnsi="Times New Roman" w:eastAsiaTheme="minorHAnsi"/>
          <w:sz w:val="28"/>
          <w:szCs w:val="28"/>
        </w:rPr>
        <w:t xml:space="preserve"> должны быть зарегистрированы в качестве Держателей Карты в порядке, предусмотренном п.15 настоящего Положения.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При регистрации в КЖ НСО физические лица в пользовательском соглашении дают согласие на </w:t>
      </w:r>
      <w:r>
        <w:rPr>
          <w:rFonts w:ascii="Times New Roman" w:hAnsi="Times New Roman" w:eastAsiaTheme="minorHAnsi"/>
          <w:sz w:val="28"/>
          <w:szCs w:val="28"/>
        </w:rPr>
        <w:t xml:space="preserve">получение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</w:t>
      </w:r>
      <w:r>
        <w:rPr>
          <w:rFonts w:ascii="Times New Roman" w:hAnsi="Times New Roman" w:eastAsiaTheme="minorHAnsi"/>
          <w:sz w:val="28"/>
          <w:szCs w:val="28"/>
        </w:rPr>
        <w:t xml:space="preserve">и коммерческих услуг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.</w:t>
      </w:r>
      <w:r>
        <w:rPr>
          <w:rFonts w:ascii="Times New Roman" w:hAnsi="Times New Roman" w:eastAsiaTheme="minorHAnsi"/>
          <w:sz w:val="28"/>
          <w:szCs w:val="28"/>
        </w:rPr>
        <w:t xml:space="preserve"> Список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и коммерческих услуг и сервисов,</w:t>
      </w:r>
      <w:r>
        <w:rPr>
          <w:rFonts w:ascii="Times New Roman" w:hAnsi="Times New Roman" w:eastAsiaTheme="minorHAnsi"/>
          <w:sz w:val="28"/>
          <w:szCs w:val="28"/>
        </w:rPr>
        <w:t xml:space="preserve"> предоставляемых с использованием КЖ НСО по факту приобретения статуса Держателя Карты, доступен в личном кабинете пользователей подсистемы «Публичный портал». После приобретения статуса Держателя Карты физическому лицу предоставляется право на получение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и</w:t>
      </w:r>
      <w:r>
        <w:rPr>
          <w:rFonts w:ascii="Times New Roman" w:hAnsi="Times New Roman" w:eastAsiaTheme="minorHAnsi"/>
          <w:sz w:val="28"/>
          <w:szCs w:val="28"/>
        </w:rPr>
        <w:t xml:space="preserve"> коммерческих услуг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 с использованием КЖ НСО.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Держателю Карты предоставляется доступ на подачу заявлений для управления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государственными, муниципальными и коммерческими</w:t>
      </w:r>
      <w:r>
        <w:rPr>
          <w:rFonts w:ascii="Times New Roman" w:hAnsi="Times New Roman" w:eastAsiaTheme="minorHAnsi"/>
          <w:sz w:val="28"/>
          <w:szCs w:val="28"/>
        </w:rPr>
        <w:t xml:space="preserve"> услуг</w:t>
      </w:r>
      <w:r>
        <w:rPr>
          <w:rFonts w:ascii="Times New Roman" w:hAnsi="Times New Roman" w:eastAsiaTheme="minorHAnsi"/>
          <w:sz w:val="28"/>
          <w:szCs w:val="28"/>
        </w:rPr>
        <w:t xml:space="preserve">ами</w:t>
      </w:r>
      <w:r>
        <w:rPr>
          <w:rFonts w:ascii="Times New Roman" w:hAnsi="Times New Roman" w:eastAsiaTheme="minorHAnsi"/>
          <w:sz w:val="28"/>
          <w:szCs w:val="28"/>
        </w:rPr>
        <w:t xml:space="preserve"> и серв</w:t>
      </w:r>
      <w:r>
        <w:rPr>
          <w:rFonts w:ascii="Times New Roman" w:hAnsi="Times New Roman" w:eastAsiaTheme="minorHAnsi"/>
          <w:sz w:val="28"/>
          <w:szCs w:val="28"/>
        </w:rPr>
        <w:t xml:space="preserve">исами</w:t>
      </w:r>
      <w:r>
        <w:rPr>
          <w:rFonts w:ascii="Times New Roman" w:hAnsi="Times New Roman" w:eastAsiaTheme="minorHAnsi"/>
          <w:sz w:val="28"/>
          <w:szCs w:val="28"/>
        </w:rPr>
        <w:t xml:space="preserve">,</w:t>
      </w:r>
      <w:r>
        <w:rPr>
          <w:rFonts w:ascii="Times New Roman" w:hAnsi="Times New Roman" w:eastAsiaTheme="minorHAnsi"/>
          <w:sz w:val="28"/>
          <w:szCs w:val="28"/>
        </w:rPr>
        <w:t xml:space="preserve"> в частности выбора тарифа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</w:t>
      </w:r>
      <w:r>
        <w:rPr>
          <w:rFonts w:ascii="Times New Roman" w:hAnsi="Times New Roman" w:eastAsiaTheme="minorHAnsi"/>
          <w:sz w:val="28"/>
          <w:szCs w:val="28"/>
        </w:rPr>
        <w:t xml:space="preserve">и коммерческих услуг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.</w:t>
      </w:r>
      <w:r>
        <w:rPr>
          <w:rFonts w:ascii="Times New Roman" w:hAnsi="Times New Roman" w:eastAsiaTheme="minorHAnsi"/>
          <w:sz w:val="28"/>
          <w:szCs w:val="28"/>
        </w:rPr>
        <w:t xml:space="preserve"> Держатель карты, подавший заявление для управления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государственными, муниципальными и коммерческими</w:t>
      </w:r>
      <w:r>
        <w:rPr>
          <w:rFonts w:ascii="Times New Roman" w:hAnsi="Times New Roman" w:eastAsiaTheme="minorHAnsi"/>
          <w:sz w:val="28"/>
          <w:szCs w:val="28"/>
        </w:rPr>
        <w:t xml:space="preserve"> услуг</w:t>
      </w:r>
      <w:r>
        <w:rPr>
          <w:rFonts w:ascii="Times New Roman" w:hAnsi="Times New Roman" w:eastAsiaTheme="minorHAnsi"/>
          <w:sz w:val="28"/>
          <w:szCs w:val="28"/>
        </w:rPr>
        <w:t xml:space="preserve">ами и сервисами</w:t>
      </w:r>
      <w:r>
        <w:rPr>
          <w:rFonts w:ascii="Times New Roman" w:hAnsi="Times New Roman" w:eastAsiaTheme="minorHAnsi"/>
          <w:sz w:val="28"/>
          <w:szCs w:val="28"/>
        </w:rPr>
        <w:t xml:space="preserve">,</w:t>
      </w:r>
      <w:r>
        <w:rPr>
          <w:rFonts w:ascii="Times New Roman" w:hAnsi="Times New Roman" w:eastAsiaTheme="minorHAnsi"/>
          <w:sz w:val="28"/>
          <w:szCs w:val="28"/>
        </w:rPr>
        <w:t xml:space="preserve"> может использовать КЖ НСО для реализации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и</w:t>
      </w:r>
      <w:r>
        <w:rPr>
          <w:rFonts w:ascii="Times New Roman" w:hAnsi="Times New Roman" w:eastAsiaTheme="minorHAnsi"/>
          <w:sz w:val="28"/>
          <w:szCs w:val="28"/>
        </w:rPr>
        <w:t xml:space="preserve"> коммерческих услуг и сервисов </w:t>
      </w:r>
      <w:r>
        <w:rPr>
          <w:rFonts w:ascii="Times New Roman" w:hAnsi="Times New Roman" w:eastAsiaTheme="minorHAnsi"/>
          <w:sz w:val="28"/>
          <w:szCs w:val="28"/>
        </w:rPr>
        <w:t xml:space="preserve">после получения соответствующего уведомления в личном кабинете пользователя подсист</w:t>
      </w:r>
      <w:r>
        <w:rPr>
          <w:rFonts w:ascii="Times New Roman" w:hAnsi="Times New Roman" w:eastAsiaTheme="minorHAnsi"/>
          <w:sz w:val="28"/>
          <w:szCs w:val="28"/>
        </w:rPr>
        <w:t xml:space="preserve">емы «Публичный портал» КЖ НСО. 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Право на отдельные виды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и коммерческих услу</w:t>
      </w:r>
      <w:r>
        <w:rPr>
          <w:rFonts w:ascii="Times New Roman" w:hAnsi="Times New Roman" w:eastAsiaTheme="minorHAnsi"/>
          <w:sz w:val="28"/>
          <w:szCs w:val="28"/>
        </w:rPr>
        <w:t xml:space="preserve">г и сервисов</w:t>
      </w:r>
      <w:r>
        <w:rPr>
          <w:rFonts w:ascii="Times New Roman" w:hAnsi="Times New Roman" w:eastAsiaTheme="minorHAnsi"/>
          <w:sz w:val="28"/>
          <w:szCs w:val="28"/>
        </w:rPr>
        <w:t xml:space="preserve"> имеют физические лица, сведения о которых были получены в ходе Информационного о</w:t>
      </w:r>
      <w:r>
        <w:rPr>
          <w:rFonts w:ascii="Times New Roman" w:hAnsi="Times New Roman" w:eastAsiaTheme="minorHAnsi"/>
          <w:sz w:val="28"/>
          <w:szCs w:val="28"/>
        </w:rPr>
        <w:t xml:space="preserve">бмена с Поставщиками сведений. 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Особенности порядка </w:t>
      </w:r>
      <w:r>
        <w:rPr>
          <w:rFonts w:ascii="Times New Roman" w:hAnsi="Times New Roman" w:eastAsiaTheme="minorHAnsi"/>
          <w:sz w:val="28"/>
          <w:szCs w:val="28"/>
        </w:rPr>
        <w:t xml:space="preserve">получения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государственных, муниципальных </w:t>
      </w:r>
      <w:r>
        <w:rPr>
          <w:rFonts w:ascii="Times New Roman" w:hAnsi="Times New Roman" w:eastAsiaTheme="minorHAnsi"/>
          <w:sz w:val="28"/>
          <w:szCs w:val="28"/>
        </w:rPr>
        <w:t xml:space="preserve">и коммерческих услуг и сервисов,</w:t>
      </w:r>
      <w:r>
        <w:rPr>
          <w:rFonts w:ascii="Times New Roman" w:hAnsi="Times New Roman" w:eastAsiaTheme="minorHAnsi"/>
          <w:sz w:val="28"/>
          <w:szCs w:val="28"/>
        </w:rPr>
        <w:t xml:space="preserve"> и использования Карты для их получения </w:t>
      </w:r>
      <w:r>
        <w:rPr>
          <w:rFonts w:ascii="Times New Roman" w:hAnsi="Times New Roman" w:eastAsiaTheme="minorHAnsi"/>
          <w:sz w:val="28"/>
          <w:szCs w:val="28"/>
        </w:rPr>
        <w:t xml:space="preserve">определяются в нормативных правовых актах, устанавливающих право физических лиц на </w:t>
      </w:r>
      <w:r>
        <w:rPr>
          <w:rFonts w:ascii="Times New Roman" w:hAnsi="Times New Roman" w:eastAsiaTheme="minorHAnsi"/>
          <w:sz w:val="28"/>
          <w:szCs w:val="28"/>
        </w:rPr>
        <w:t xml:space="preserve">государственные муниципальные и коммерческие услуги и сервисы.</w:t>
      </w:r>
      <w:r>
        <w:rPr>
          <w:rFonts w:ascii="Times New Roman" w:hAnsi="Times New Roman" w:eastAsiaTheme="minorHAnsi"/>
          <w:sz w:val="28"/>
          <w:szCs w:val="28"/>
        </w:rPr>
        <w:t xml:space="preserve">».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pStyle w:val="681"/>
        <w:ind w:left="0" w:firstLine="708"/>
        <w:jc w:val="both"/>
        <w:spacing w:after="0" w:line="240" w:lineRule="auto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</w:r>
      <w:r>
        <w:rPr>
          <w:rFonts w:ascii="Times New Roman" w:hAnsi="Times New Roman" w:eastAsiaTheme="minorHAnsi" w:cstheme="minorBidi"/>
          <w:sz w:val="28"/>
          <w:szCs w:val="28"/>
        </w:rPr>
      </w:r>
    </w:p>
    <w:p>
      <w:pPr>
        <w:pStyle w:val="681"/>
        <w:ind w:left="0" w:firstLine="708"/>
        <w:jc w:val="both"/>
        <w:spacing w:after="0" w:line="240" w:lineRule="auto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</w:r>
      <w:r>
        <w:rPr>
          <w:rFonts w:ascii="Times New Roman" w:hAnsi="Times New Roman" w:eastAsiaTheme="minorHAnsi" w:cstheme="minorBidi"/>
          <w:sz w:val="28"/>
          <w:szCs w:val="28"/>
        </w:rPr>
      </w:r>
    </w:p>
    <w:p>
      <w:pPr>
        <w:pStyle w:val="681"/>
        <w:ind w:left="0" w:firstLine="708"/>
        <w:jc w:val="both"/>
        <w:spacing w:after="0" w:line="240" w:lineRule="auto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</w:r>
      <w:r>
        <w:rPr>
          <w:rFonts w:ascii="Times New Roman" w:hAnsi="Times New Roman" w:eastAsiaTheme="minorHAnsi" w:cstheme="minorBidi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8"/>
          <w:szCs w:val="28"/>
        </w:rPr>
      </w:pPr>
      <w:r>
        <w:rPr>
          <w:rFonts w:ascii="Times New Roman" w:hAnsi="Times New Roman" w:eastAsia="Times New Roman" w:cs="Arial"/>
          <w:sz w:val="28"/>
          <w:szCs w:val="28"/>
        </w:rPr>
        <w:t xml:space="preserve">Губернатор</w:t>
      </w:r>
      <w:r>
        <w:rPr>
          <w:rFonts w:ascii="Times New Roman" w:hAnsi="Times New Roman" w:eastAsia="Times New Roman" w:cs="Arial"/>
          <w:sz w:val="28"/>
          <w:szCs w:val="28"/>
        </w:rPr>
        <w:t xml:space="preserve"> Новосибирской области</w:t>
      </w:r>
      <w:r>
        <w:rPr>
          <w:rFonts w:ascii="Times New Roman" w:hAnsi="Times New Roman" w:eastAsia="Times New Roman" w:cs="Arial"/>
          <w:sz w:val="28"/>
          <w:szCs w:val="28"/>
        </w:rPr>
        <w:tab/>
      </w:r>
      <w:r>
        <w:rPr>
          <w:rFonts w:ascii="Times New Roman" w:hAnsi="Times New Roman" w:eastAsia="Times New Roman" w:cs="Arial"/>
          <w:sz w:val="28"/>
          <w:szCs w:val="28"/>
        </w:rPr>
        <w:tab/>
      </w:r>
      <w:r>
        <w:rPr>
          <w:rFonts w:ascii="Times New Roman" w:hAnsi="Times New Roman" w:eastAsia="Times New Roman" w:cs="Arial"/>
          <w:sz w:val="28"/>
          <w:szCs w:val="28"/>
        </w:rPr>
        <w:tab/>
      </w:r>
      <w:r>
        <w:rPr>
          <w:rFonts w:ascii="Times New Roman" w:hAnsi="Times New Roman" w:eastAsia="Times New Roman" w:cs="Arial"/>
          <w:sz w:val="28"/>
          <w:szCs w:val="28"/>
        </w:rPr>
        <w:tab/>
      </w:r>
      <w:r>
        <w:rPr>
          <w:rFonts w:ascii="Times New Roman" w:hAnsi="Times New Roman" w:eastAsia="Times New Roman" w:cs="Arial"/>
          <w:sz w:val="28"/>
          <w:szCs w:val="28"/>
        </w:rPr>
        <w:tab/>
      </w:r>
      <w:r>
        <w:rPr>
          <w:rFonts w:ascii="Times New Roman" w:hAnsi="Times New Roman" w:eastAsia="Times New Roman" w:cs="Arial"/>
          <w:sz w:val="28"/>
          <w:szCs w:val="28"/>
        </w:rPr>
        <w:t xml:space="preserve">А.</w:t>
      </w:r>
      <w:r>
        <w:rPr>
          <w:rFonts w:ascii="Times New Roman" w:hAnsi="Times New Roman" w:eastAsia="Times New Roman" w:cs="Arial"/>
          <w:sz w:val="28"/>
          <w:szCs w:val="28"/>
        </w:rPr>
        <w:t xml:space="preserve">А. Травников</w:t>
      </w:r>
      <w:r>
        <w:rPr>
          <w:rFonts w:ascii="Times New Roman" w:hAnsi="Times New Roman" w:eastAsia="Times New Roman" w:cs="Arial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erReference w:type="firs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widowControl w:val="off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bullet"/>
      <w:pStyle w:val="692"/>
      <w:isLgl w:val="false"/>
      <w:suff w:val="tab"/>
      <w:lvlText w:val="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8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8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3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0"/>
    <w:link w:val="6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0"/>
    <w:link w:val="66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0"/>
    <w:link w:val="697"/>
    <w:uiPriority w:val="99"/>
  </w:style>
  <w:style w:type="character" w:styleId="45">
    <w:name w:val="Footer Char"/>
    <w:basedOn w:val="670"/>
    <w:link w:val="677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7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</w:style>
  <w:style w:type="paragraph" w:styleId="668">
    <w:name w:val="Heading 1"/>
    <w:basedOn w:val="667"/>
    <w:next w:val="667"/>
    <w:link w:val="69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69">
    <w:name w:val="Heading 2"/>
    <w:basedOn w:val="667"/>
    <w:next w:val="667"/>
    <w:link w:val="694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 w:customStyle="1">
    <w:name w:val="headertext"/>
    <w:basedOn w:val="6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74" w:customStyle="1">
    <w:name w:val="formattext"/>
    <w:basedOn w:val="6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75">
    <w:name w:val="Hyperlink"/>
    <w:basedOn w:val="670"/>
    <w:uiPriority w:val="99"/>
    <w:semiHidden/>
    <w:unhideWhenUsed/>
    <w:rPr>
      <w:color w:val="0000ff"/>
      <w:u w:val="single"/>
    </w:rPr>
  </w:style>
  <w:style w:type="table" w:styleId="676">
    <w:name w:val="Table Grid"/>
    <w:basedOn w:val="67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>
    <w:name w:val="Footer"/>
    <w:basedOn w:val="667"/>
    <w:link w:val="678"/>
    <w:uiPriority w:val="99"/>
    <w:pPr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character" w:styleId="678" w:customStyle="1">
    <w:name w:val="Нижний колонтитул Знак"/>
    <w:basedOn w:val="670"/>
    <w:link w:val="677"/>
    <w:uiPriority w:val="99"/>
    <w:rPr>
      <w:rFonts w:ascii="Calibri" w:hAnsi="Calibri" w:eastAsia="Times New Roman" w:cs="Times New Roman"/>
    </w:rPr>
  </w:style>
  <w:style w:type="paragraph" w:styleId="679">
    <w:name w:val="Body Text"/>
    <w:basedOn w:val="667"/>
    <w:link w:val="680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680" w:customStyle="1">
    <w:name w:val="Основной текст Знак"/>
    <w:basedOn w:val="670"/>
    <w:link w:val="67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1">
    <w:name w:val="List Paragraph"/>
    <w:basedOn w:val="667"/>
    <w:link w:val="683"/>
    <w:uiPriority w:val="34"/>
    <w:qFormat/>
    <w:pPr>
      <w:contextualSpacing/>
      <w:ind w:left="720"/>
    </w:pPr>
    <w:rPr>
      <w:rFonts w:ascii="Calibri" w:hAnsi="Calibri" w:eastAsia="Times New Roman" w:cs="Times New Roman"/>
    </w:rPr>
  </w:style>
  <w:style w:type="paragraph" w:styleId="6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character" w:styleId="683" w:customStyle="1">
    <w:name w:val="Абзац списка Знак"/>
    <w:link w:val="681"/>
    <w:uiPriority w:val="34"/>
    <w:rPr>
      <w:rFonts w:ascii="Calibri" w:hAnsi="Calibri" w:eastAsia="Times New Roman" w:cs="Times New Roman"/>
    </w:rPr>
  </w:style>
  <w:style w:type="character" w:styleId="684">
    <w:name w:val="Emphasis"/>
    <w:qFormat/>
    <w:rPr>
      <w:i/>
      <w:iCs/>
    </w:rPr>
  </w:style>
  <w:style w:type="character" w:styleId="685">
    <w:name w:val="annotation reference"/>
    <w:basedOn w:val="670"/>
    <w:uiPriority w:val="99"/>
    <w:unhideWhenUsed/>
    <w:rPr>
      <w:sz w:val="16"/>
      <w:szCs w:val="16"/>
    </w:rPr>
  </w:style>
  <w:style w:type="paragraph" w:styleId="686">
    <w:name w:val="annotation text"/>
    <w:basedOn w:val="667"/>
    <w:link w:val="687"/>
    <w:uiPriority w:val="99"/>
    <w:unhideWhenUsed/>
    <w:pPr>
      <w:spacing w:line="240" w:lineRule="auto"/>
    </w:pPr>
    <w:rPr>
      <w:sz w:val="20"/>
      <w:szCs w:val="20"/>
    </w:rPr>
  </w:style>
  <w:style w:type="character" w:styleId="687" w:customStyle="1">
    <w:name w:val="Текст примечания Знак"/>
    <w:basedOn w:val="670"/>
    <w:link w:val="686"/>
    <w:uiPriority w:val="99"/>
    <w:rPr>
      <w:sz w:val="20"/>
      <w:szCs w:val="20"/>
    </w:rPr>
  </w:style>
  <w:style w:type="paragraph" w:styleId="688">
    <w:name w:val="annotation subject"/>
    <w:basedOn w:val="686"/>
    <w:next w:val="686"/>
    <w:link w:val="689"/>
    <w:uiPriority w:val="99"/>
    <w:semiHidden/>
    <w:unhideWhenUsed/>
    <w:rPr>
      <w:b/>
      <w:bCs/>
    </w:rPr>
  </w:style>
  <w:style w:type="character" w:styleId="689" w:customStyle="1">
    <w:name w:val="Тема примечания Знак"/>
    <w:basedOn w:val="687"/>
    <w:link w:val="688"/>
    <w:uiPriority w:val="99"/>
    <w:semiHidden/>
    <w:rPr>
      <w:b/>
      <w:bCs/>
      <w:sz w:val="20"/>
      <w:szCs w:val="20"/>
    </w:rPr>
  </w:style>
  <w:style w:type="paragraph" w:styleId="690">
    <w:name w:val="Balloon Text"/>
    <w:basedOn w:val="667"/>
    <w:link w:val="6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1" w:customStyle="1">
    <w:name w:val="Текст выноски Знак"/>
    <w:basedOn w:val="670"/>
    <w:link w:val="690"/>
    <w:uiPriority w:val="99"/>
    <w:semiHidden/>
    <w:rPr>
      <w:rFonts w:ascii="Segoe UI" w:hAnsi="Segoe UI" w:cs="Segoe UI"/>
      <w:sz w:val="18"/>
      <w:szCs w:val="18"/>
    </w:rPr>
  </w:style>
  <w:style w:type="paragraph" w:styleId="692" w:customStyle="1">
    <w:name w:val="Список Тире"/>
    <w:basedOn w:val="667"/>
    <w:link w:val="693"/>
    <w:qFormat/>
    <w:pPr>
      <w:numPr>
        <w:ilvl w:val="0"/>
        <w:numId w:val="1"/>
      </w:numPr>
      <w:contextualSpacing/>
      <w:ind w:firstLine="709"/>
      <w:jc w:val="both"/>
      <w:spacing w:after="0" w:line="240" w:lineRule="auto"/>
      <w:tabs>
        <w:tab w:val="left" w:pos="993" w:leader="none"/>
      </w:tabs>
    </w:pPr>
    <w:rPr>
      <w:rFonts w:ascii="Times New Roman" w:hAnsi="Times New Roman" w:eastAsia="Times New Roman" w:cs="Times New Roman"/>
      <w:sz w:val="28"/>
      <w:szCs w:val="28"/>
    </w:rPr>
  </w:style>
  <w:style w:type="character" w:styleId="693" w:customStyle="1">
    <w:name w:val="Список Тире Знак"/>
    <w:link w:val="692"/>
    <w:rPr>
      <w:rFonts w:ascii="Times New Roman" w:hAnsi="Times New Roman" w:eastAsia="Times New Roman" w:cs="Times New Roman"/>
      <w:sz w:val="28"/>
      <w:szCs w:val="28"/>
    </w:rPr>
  </w:style>
  <w:style w:type="character" w:styleId="694" w:customStyle="1">
    <w:name w:val="Заголовок 2 Знак"/>
    <w:basedOn w:val="670"/>
    <w:link w:val="66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95" w:customStyle="1">
    <w:name w:val="Заголовок 1 Знак"/>
    <w:basedOn w:val="670"/>
    <w:link w:val="668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96">
    <w:name w:val="Revision"/>
    <w:hidden/>
    <w:uiPriority w:val="99"/>
    <w:semiHidden/>
    <w:pPr>
      <w:spacing w:after="0" w:line="240" w:lineRule="auto"/>
    </w:pPr>
  </w:style>
  <w:style w:type="paragraph" w:styleId="697">
    <w:name w:val="Header"/>
    <w:basedOn w:val="667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70"/>
    <w:link w:val="697"/>
    <w:uiPriority w:val="99"/>
  </w:style>
  <w:style w:type="character" w:styleId="699" w:customStyle="1">
    <w:name w:val="blk"/>
    <w:basedOn w:val="67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6143B-7F4A-464F-A4D5-7FF21A32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revision>4</cp:revision>
  <dcterms:created xsi:type="dcterms:W3CDTF">2024-01-18T09:38:00Z</dcterms:created>
  <dcterms:modified xsi:type="dcterms:W3CDTF">2024-01-18T09:43:41Z</dcterms:modified>
</cp:coreProperties>
</file>