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ПРИЛОЖЕНИЕ № </w:t>
      </w:r>
      <w:r w:rsidR="007F61F8" w:rsidRPr="00846679">
        <w:rPr>
          <w:sz w:val="28"/>
          <w:szCs w:val="28"/>
        </w:rPr>
        <w:t>2</w:t>
      </w:r>
    </w:p>
    <w:p w:rsidR="00D33A2A" w:rsidRPr="00846679" w:rsidRDefault="00D33A2A" w:rsidP="00D33A2A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постановлению Правительства</w:t>
      </w:r>
    </w:p>
    <w:p w:rsidR="00D33A2A" w:rsidRPr="00846679" w:rsidRDefault="00D33A2A" w:rsidP="00D67BD0">
      <w:pPr>
        <w:autoSpaceDN w:val="0"/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017819" w:rsidRDefault="00017819" w:rsidP="00D33A2A">
      <w:pPr>
        <w:tabs>
          <w:tab w:val="left" w:pos="8670"/>
          <w:tab w:val="left" w:pos="10490"/>
        </w:tabs>
        <w:ind w:left="10490"/>
        <w:jc w:val="center"/>
        <w:rPr>
          <w:sz w:val="12"/>
          <w:szCs w:val="12"/>
        </w:rPr>
      </w:pPr>
    </w:p>
    <w:p w:rsidR="00017819" w:rsidRDefault="00017819" w:rsidP="00D33A2A">
      <w:pPr>
        <w:tabs>
          <w:tab w:val="left" w:pos="8670"/>
          <w:tab w:val="left" w:pos="10490"/>
        </w:tabs>
        <w:ind w:left="10490"/>
        <w:jc w:val="center"/>
        <w:rPr>
          <w:sz w:val="12"/>
          <w:szCs w:val="12"/>
        </w:rPr>
      </w:pPr>
    </w:p>
    <w:p w:rsidR="00017819" w:rsidRPr="00017819" w:rsidRDefault="00017819" w:rsidP="00D33A2A">
      <w:pPr>
        <w:tabs>
          <w:tab w:val="left" w:pos="8670"/>
          <w:tab w:val="left" w:pos="10490"/>
        </w:tabs>
        <w:ind w:left="10490"/>
        <w:jc w:val="center"/>
        <w:rPr>
          <w:sz w:val="12"/>
          <w:szCs w:val="12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«ПРИЛОЖЕНИЕ № 2.1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к государственной программе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Новосибирской области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846679">
        <w:rPr>
          <w:sz w:val="28"/>
          <w:szCs w:val="28"/>
        </w:rPr>
        <w:t>«Содействие занятости населения»</w:t>
      </w: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D33A2A" w:rsidRPr="00846679" w:rsidRDefault="00D33A2A" w:rsidP="00D33A2A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ОСНОВНЫЕ МЕРОПРИЯТИЯ</w:t>
      </w:r>
    </w:p>
    <w:p w:rsidR="006961BA" w:rsidRPr="00846679" w:rsidRDefault="006961BA" w:rsidP="006961BA">
      <w:pPr>
        <w:jc w:val="center"/>
        <w:rPr>
          <w:b/>
          <w:sz w:val="28"/>
          <w:szCs w:val="28"/>
        </w:rPr>
      </w:pPr>
      <w:r w:rsidRPr="00846679">
        <w:rPr>
          <w:b/>
          <w:sz w:val="28"/>
          <w:szCs w:val="28"/>
        </w:rPr>
        <w:t>государственной программы Новосибирской области</w:t>
      </w:r>
    </w:p>
    <w:p w:rsidR="00D33A2A" w:rsidRPr="00846679" w:rsidRDefault="00D33A2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1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417"/>
        <w:gridCol w:w="10"/>
        <w:gridCol w:w="709"/>
        <w:gridCol w:w="426"/>
        <w:gridCol w:w="106"/>
        <w:gridCol w:w="376"/>
        <w:gridCol w:w="46"/>
        <w:gridCol w:w="426"/>
        <w:gridCol w:w="965"/>
        <w:gridCol w:w="6"/>
        <w:gridCol w:w="7"/>
        <w:gridCol w:w="15"/>
        <w:gridCol w:w="12"/>
        <w:gridCol w:w="8"/>
        <w:gridCol w:w="17"/>
        <w:gridCol w:w="899"/>
        <w:gridCol w:w="12"/>
        <w:gridCol w:w="14"/>
        <w:gridCol w:w="42"/>
        <w:gridCol w:w="29"/>
        <w:gridCol w:w="896"/>
        <w:gridCol w:w="26"/>
        <w:gridCol w:w="6"/>
        <w:gridCol w:w="9"/>
        <w:gridCol w:w="28"/>
        <w:gridCol w:w="30"/>
        <w:gridCol w:w="893"/>
        <w:gridCol w:w="26"/>
        <w:gridCol w:w="17"/>
        <w:gridCol w:w="28"/>
        <w:gridCol w:w="31"/>
        <w:gridCol w:w="933"/>
        <w:gridCol w:w="53"/>
        <w:gridCol w:w="1000"/>
        <w:gridCol w:w="991"/>
        <w:gridCol w:w="6"/>
        <w:gridCol w:w="1407"/>
        <w:gridCol w:w="2083"/>
      </w:tblGrid>
      <w:tr w:rsidR="00BC6DCE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509" w:type="dxa"/>
            <w:gridSpan w:val="35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CE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6DCE" w:rsidRPr="00846679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сточники</w:t>
            </w:r>
          </w:p>
        </w:tc>
        <w:tc>
          <w:tcPr>
            <w:tcW w:w="2099" w:type="dxa"/>
            <w:gridSpan w:val="7"/>
            <w:shd w:val="clear" w:color="auto" w:fill="auto"/>
          </w:tcPr>
          <w:p w:rsidR="00BC6DCE" w:rsidRPr="00846679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од бюджетной</w:t>
            </w:r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93" w:type="dxa"/>
            <w:gridSpan w:val="27"/>
          </w:tcPr>
          <w:p w:rsidR="00BC6DCE" w:rsidRPr="00AC6917" w:rsidRDefault="00D67BD0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C6DCE" w:rsidRPr="00846679">
              <w:rPr>
                <w:rFonts w:ascii="Times New Roman" w:hAnsi="Times New Roman" w:cs="Times New Roman"/>
                <w:sz w:val="18"/>
                <w:szCs w:val="18"/>
              </w:rPr>
              <w:t>о годам реализации, тыс. руб.</w:t>
            </w:r>
            <w:r w:rsidR="00AC69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</w:tr>
      <w:tr w:rsidR="00BC6DCE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ГП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proofErr w:type="spellStart"/>
            <w:r w:rsidRPr="00846679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472" w:type="dxa"/>
            <w:gridSpan w:val="2"/>
            <w:shd w:val="clear" w:color="auto" w:fill="auto"/>
          </w:tcPr>
          <w:p w:rsidR="00BC6DCE" w:rsidRPr="00846679" w:rsidRDefault="00BC6DCE" w:rsidP="009D095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ОМ</w:t>
            </w:r>
          </w:p>
        </w:tc>
        <w:tc>
          <w:tcPr>
            <w:tcW w:w="1030" w:type="dxa"/>
            <w:gridSpan w:val="7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6" w:type="dxa"/>
            <w:gridSpan w:val="5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5" w:type="dxa"/>
            <w:gridSpan w:val="6"/>
          </w:tcPr>
          <w:p w:rsidR="00BC6DCE" w:rsidRPr="0001781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81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5" w:type="dxa"/>
            <w:gridSpan w:val="5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00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1" w:type="dxa"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3" w:type="dxa"/>
            <w:gridSpan w:val="2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C6DCE" w:rsidRPr="00846679" w:rsidRDefault="00BC6DCE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846679" w:rsidTr="004F456E">
        <w:trPr>
          <w:trHeight w:val="20"/>
          <w:tblCellSpacing w:w="5" w:type="nil"/>
        </w:trPr>
        <w:tc>
          <w:tcPr>
            <w:tcW w:w="1836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253D74" w:rsidRPr="00846679" w:rsidRDefault="00253D74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0" w:type="dxa"/>
            <w:gridSpan w:val="7"/>
          </w:tcPr>
          <w:p w:rsidR="00253D74" w:rsidRPr="00846679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gridSpan w:val="5"/>
          </w:tcPr>
          <w:p w:rsidR="00253D74" w:rsidRPr="00846679" w:rsidRDefault="00CF374B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5" w:type="dxa"/>
            <w:gridSpan w:val="6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5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83" w:type="dxa"/>
            <w:shd w:val="clear" w:color="auto" w:fill="auto"/>
          </w:tcPr>
          <w:p w:rsidR="00253D74" w:rsidRPr="00846679" w:rsidRDefault="001A3A3F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7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E7F02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shd w:val="clear" w:color="auto" w:fill="auto"/>
          </w:tcPr>
          <w:p w:rsidR="004E7F02" w:rsidRPr="00846679" w:rsidRDefault="009D0954" w:rsidP="00797925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 Цель: с</w:t>
            </w:r>
            <w:r w:rsidR="004E7F02" w:rsidRPr="00846679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253D74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shd w:val="clear" w:color="auto" w:fill="auto"/>
          </w:tcPr>
          <w:p w:rsidR="00253D74" w:rsidRPr="00846679" w:rsidRDefault="00253D74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 Задача 1. Содействие занятости и защита от безработицы населения Новосибирской области</w:t>
            </w:r>
          </w:p>
        </w:tc>
      </w:tr>
      <w:tr w:rsidR="004E7F02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shd w:val="clear" w:color="auto" w:fill="auto"/>
          </w:tcPr>
          <w:p w:rsidR="004E7F02" w:rsidRPr="00846679" w:rsidRDefault="004E7F0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1.1.1. Подпрограмма 1. Активная политика занятости населения и социальная поддержка безработных граждан</w:t>
            </w:r>
          </w:p>
        </w:tc>
      </w:tr>
      <w:tr w:rsidR="004E7F02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shd w:val="clear" w:color="auto" w:fill="auto"/>
            <w:vAlign w:val="center"/>
          </w:tcPr>
          <w:p w:rsidR="004E7F02" w:rsidRPr="00846679" w:rsidRDefault="004E7F02" w:rsidP="0085556F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 Цель. Содействие занятости и защита от безработицы населения Новосибирской области</w:t>
            </w:r>
          </w:p>
        </w:tc>
      </w:tr>
      <w:tr w:rsidR="004E7F02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shd w:val="clear" w:color="auto" w:fill="auto"/>
            <w:vAlign w:val="center"/>
          </w:tcPr>
          <w:p w:rsidR="004E7F02" w:rsidRPr="00846679" w:rsidRDefault="004E7F02" w:rsidP="0085556F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</w:t>
            </w:r>
            <w:r w:rsidR="00B97622" w:rsidRPr="00846679">
              <w:rPr>
                <w:sz w:val="18"/>
                <w:szCs w:val="18"/>
              </w:rPr>
              <w:t>роса и предложения рабочей силы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1.1.1.1.1.1. Основное мероприятие 1.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трудоустройству различных категорий граждан, включая граждан, находящихся под риском увольнения, а также граждан, особо нуждающихся в социальной защите и испытывающих трудности в поиске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областной бюджет 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135421,1</w:t>
            </w:r>
          </w:p>
        </w:tc>
        <w:tc>
          <w:tcPr>
            <w:tcW w:w="984" w:type="dxa"/>
            <w:gridSpan w:val="5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131925,0</w:t>
            </w:r>
          </w:p>
        </w:tc>
        <w:tc>
          <w:tcPr>
            <w:tcW w:w="994" w:type="dxa"/>
            <w:gridSpan w:val="6"/>
          </w:tcPr>
          <w:p w:rsidR="00C97056" w:rsidRPr="00CD123E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107509,7</w:t>
            </w:r>
          </w:p>
          <w:p w:rsidR="00C97056" w:rsidRPr="00CD123E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C97056" w:rsidRPr="00C97056" w:rsidRDefault="00C97056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107200,</w:t>
            </w:r>
            <w:r w:rsidR="000116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146799,6</w:t>
            </w:r>
          </w:p>
        </w:tc>
        <w:tc>
          <w:tcPr>
            <w:tcW w:w="1000" w:type="dxa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146599,6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146599,6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НСО, учреждения занятости населения, ГАУ НСО «ЦРПК» во взаимодействии с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админи-страциями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sz w:val="18"/>
                <w:szCs w:val="18"/>
              </w:rPr>
              <w:t>МРиГО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работы, в 2025 году составит не менее 74,0%.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Ежегодно не менее </w:t>
            </w:r>
            <w:r w:rsidR="00E31A1B">
              <w:rPr>
                <w:sz w:val="18"/>
                <w:szCs w:val="18"/>
              </w:rPr>
              <w:t>85,7</w:t>
            </w:r>
            <w:r w:rsidRPr="00017819">
              <w:rPr>
                <w:sz w:val="18"/>
                <w:szCs w:val="18"/>
              </w:rPr>
              <w:t xml:space="preserve"> </w:t>
            </w:r>
            <w:r w:rsidRPr="00017819">
              <w:rPr>
                <w:sz w:val="18"/>
                <w:szCs w:val="18"/>
              </w:rPr>
              <w:lastRenderedPageBreak/>
              <w:t xml:space="preserve">тыс. граждан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и работодателей будут оказаны государственные услуги содействия гражданам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в поиске подходящей работы,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а работодателям –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>в подборе необ</w:t>
            </w:r>
            <w:r>
              <w:rPr>
                <w:sz w:val="18"/>
                <w:szCs w:val="18"/>
              </w:rPr>
              <w:t xml:space="preserve">ходимых работников. Ежегодно </w:t>
            </w:r>
            <w:r w:rsidR="00E31A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,2</w:t>
            </w:r>
            <w:r w:rsidRPr="00017819">
              <w:rPr>
                <w:sz w:val="18"/>
                <w:szCs w:val="18"/>
              </w:rPr>
              <w:t xml:space="preserve"> тыс. безработным гражданам будут оказаны консультационные услуги по вопросам организации самостоятельной занятости, не менее </w:t>
            </w:r>
          </w:p>
          <w:p w:rsidR="00C97056" w:rsidRPr="00017819" w:rsidRDefault="00E31A1B" w:rsidP="00C97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C97056" w:rsidRPr="00017819">
              <w:rPr>
                <w:sz w:val="18"/>
                <w:szCs w:val="18"/>
              </w:rPr>
              <w:t xml:space="preserve"> безработным гражданам будет оказана финансовая помощь на организацию малого предпринимательства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>и самостоятельной занятости.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 xml:space="preserve">Ежегодно </w:t>
            </w:r>
          </w:p>
          <w:p w:rsidR="00C97056" w:rsidRPr="00017819" w:rsidRDefault="00E31A1B" w:rsidP="00C97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  <w:r w:rsidR="00C97056" w:rsidRPr="00017819">
              <w:rPr>
                <w:sz w:val="18"/>
                <w:szCs w:val="18"/>
              </w:rPr>
              <w:t xml:space="preserve"> тыс. граждан будут оказаны государственные услуги по профессиональной ориентации, </w:t>
            </w:r>
            <w:r>
              <w:rPr>
                <w:sz w:val="18"/>
                <w:szCs w:val="18"/>
              </w:rPr>
              <w:t>2,0</w:t>
            </w:r>
            <w:r w:rsidR="00C97056" w:rsidRPr="00017819">
              <w:rPr>
                <w:sz w:val="18"/>
                <w:szCs w:val="18"/>
              </w:rPr>
              <w:t xml:space="preserve"> тыс. безработных граждан будут направлены </w:t>
            </w:r>
          </w:p>
          <w:p w:rsidR="00C97056" w:rsidRPr="00017819" w:rsidRDefault="00C97056" w:rsidP="00C97056">
            <w:pPr>
              <w:rPr>
                <w:sz w:val="18"/>
                <w:szCs w:val="18"/>
              </w:rPr>
            </w:pPr>
            <w:r w:rsidRPr="00017819">
              <w:rPr>
                <w:sz w:val="18"/>
                <w:szCs w:val="18"/>
              </w:rPr>
              <w:t>для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B647C1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81E69" w:rsidRPr="00846679" w:rsidRDefault="00A81E6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7C1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1E69" w:rsidRPr="00846679" w:rsidRDefault="00A81E6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A81E69" w:rsidRPr="00846679" w:rsidRDefault="00A81E6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81E69" w:rsidRPr="00846679" w:rsidRDefault="00A81E6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A81E69" w:rsidRPr="00846679" w:rsidRDefault="00A81E6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FF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F6AFF" w:rsidRPr="00846679" w:rsidRDefault="00DF6AFF" w:rsidP="00DF6A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DF6AFF" w:rsidRPr="00846679" w:rsidRDefault="00DF6AFF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13" w:type="dxa"/>
            <w:gridSpan w:val="6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DF6AFF" w:rsidRPr="00846679" w:rsidRDefault="00DF6AFF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F6AFF" w:rsidRPr="00846679" w:rsidRDefault="00DF6AFF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DF6AFF" w:rsidRPr="00846679" w:rsidRDefault="00DF6AF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B97622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B976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21625" w:rsidRPr="00846679" w:rsidRDefault="00721625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1.1.1.1.1.2. Основное мероприятие 2. </w:t>
            </w:r>
          </w:p>
          <w:p w:rsidR="00B97622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0A5909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проведение учреждениями занятости населения специализированных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 по оказанию помощи </w:t>
            </w:r>
          </w:p>
          <w:p w:rsidR="000A5909" w:rsidRPr="00846679" w:rsidRDefault="00721625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трудоустройстве гражданам, в том числе находящимся под риском увольнения, а также гражданам, особо нуждающимся </w:t>
            </w:r>
          </w:p>
          <w:p w:rsidR="00CA3B61" w:rsidRPr="00846679" w:rsidRDefault="00721625" w:rsidP="00CA3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социальной защите и испытывающим трудности в поиске работы</w:t>
            </w: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98" w:type="dxa"/>
            <w:gridSpan w:val="35"/>
          </w:tcPr>
          <w:p w:rsidR="000A5909" w:rsidRPr="00846679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21625" w:rsidRPr="00846679" w:rsidRDefault="00721625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59459C" w:rsidRPr="00846679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21625" w:rsidRDefault="00721625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  <w:p w:rsidR="003457B6" w:rsidRDefault="003457B6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7B6" w:rsidRPr="00846679" w:rsidRDefault="003457B6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 w:rsidR="000A5909" w:rsidRPr="00A70FA0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будут проведены специальные мероприятия </w:t>
            </w:r>
          </w:p>
          <w:p w:rsidR="000A5909" w:rsidRPr="00A70FA0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по профилированию </w:t>
            </w:r>
            <w:r w:rsidR="00195618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E31A1B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  <w:r w:rsidR="00D12427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="00D12427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, зарегистрированных в целях поиска </w:t>
            </w:r>
            <w:r w:rsidR="00D12427" w:rsidRPr="00A70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подходящей работы,</w:t>
            </w:r>
            <w:r w:rsidR="00DA073F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будет проведено не менее </w:t>
            </w:r>
          </w:p>
          <w:p w:rsidR="00721625" w:rsidRPr="00A70FA0" w:rsidRDefault="00721625" w:rsidP="009D0954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001C1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</w:t>
            </w:r>
          </w:p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625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21625" w:rsidRPr="00846679" w:rsidRDefault="00721625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21625" w:rsidRPr="00846679" w:rsidRDefault="00721625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21625" w:rsidRPr="00846679" w:rsidRDefault="00721625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21625" w:rsidRPr="00846679" w:rsidRDefault="00721625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164952" w:rsidRPr="00846679" w:rsidRDefault="00164952" w:rsidP="0059226A">
            <w:pPr>
              <w:jc w:val="both"/>
              <w:rPr>
                <w:rFonts w:eastAsia="Arial Unicode MS"/>
                <w:bCs/>
                <w:sz w:val="18"/>
                <w:szCs w:val="18"/>
                <w:u w:color="000000"/>
              </w:rPr>
            </w:pPr>
            <w:r w:rsidRPr="00846679">
              <w:rPr>
                <w:sz w:val="18"/>
                <w:szCs w:val="18"/>
              </w:rPr>
              <w:t>1.1.1.1.1.3. Основное мероприятие 3.</w:t>
            </w:r>
            <w:r w:rsidRPr="00846679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</w:t>
            </w:r>
          </w:p>
          <w:p w:rsidR="00164952" w:rsidRPr="00846679" w:rsidRDefault="00164952" w:rsidP="003C47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Региональный проект «Старшее поколение»</w:t>
            </w:r>
          </w:p>
        </w:tc>
        <w:tc>
          <w:tcPr>
            <w:tcW w:w="1417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64952" w:rsidRPr="00846679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164952" w:rsidRPr="00846679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64952" w:rsidRPr="00846679" w:rsidRDefault="0016495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</w:tcPr>
          <w:p w:rsidR="00164952" w:rsidRPr="00846679" w:rsidRDefault="00164952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3471,2</w:t>
            </w:r>
          </w:p>
        </w:tc>
        <w:tc>
          <w:tcPr>
            <w:tcW w:w="992" w:type="dxa"/>
            <w:gridSpan w:val="6"/>
          </w:tcPr>
          <w:p w:rsidR="00164952" w:rsidRPr="00846679" w:rsidRDefault="00164952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5868,6</w:t>
            </w:r>
          </w:p>
        </w:tc>
        <w:tc>
          <w:tcPr>
            <w:tcW w:w="994" w:type="dxa"/>
            <w:gridSpan w:val="6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64952" w:rsidRPr="00846679" w:rsidRDefault="0016495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164952" w:rsidRPr="00846679" w:rsidRDefault="0016495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164952" w:rsidRPr="00846679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2019-2020 годах </w:t>
            </w:r>
          </w:p>
          <w:p w:rsidR="00164952" w:rsidRPr="00846679" w:rsidRDefault="002A15DD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="00EF414A">
              <w:rPr>
                <w:rFonts w:ascii="Times New Roman" w:hAnsi="Times New Roman" w:cs="Times New Roman"/>
                <w:sz w:val="18"/>
                <w:szCs w:val="18"/>
              </w:rPr>
              <w:t>1737</w:t>
            </w:r>
            <w:r w:rsidR="00164952"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  <w:p w:rsidR="00164952" w:rsidRPr="00846679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возрасте 50-ти лет и старше, а также граждан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 (в 2019 году – граждан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возраста) про</w:t>
            </w:r>
            <w:r w:rsidR="002A15DD">
              <w:rPr>
                <w:rFonts w:ascii="Times New Roman" w:hAnsi="Times New Roman" w:cs="Times New Roman"/>
                <w:sz w:val="18"/>
                <w:szCs w:val="18"/>
              </w:rPr>
              <w:t>йдут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обучение или полу</w:t>
            </w:r>
            <w:r w:rsidR="00CD123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2A15DD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дополнительное профессиональное образование по профессиям (навыкам, компетенциям), востребованным </w:t>
            </w:r>
          </w:p>
          <w:p w:rsidR="00164952" w:rsidRDefault="0016495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региональном рынке труда</w:t>
            </w:r>
            <w:r w:rsidR="00CD12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123E" w:rsidRPr="00CD123E" w:rsidRDefault="00CD123E" w:rsidP="00CD123E">
            <w:pPr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 2021 года мероприяти</w:t>
            </w:r>
            <w:r w:rsidR="00EF414A">
              <w:rPr>
                <w:spacing w:val="-6"/>
                <w:sz w:val="18"/>
                <w:szCs w:val="18"/>
              </w:rPr>
              <w:t xml:space="preserve">я по организации профессионального обучения указанной категории </w:t>
            </w:r>
            <w:proofErr w:type="gramStart"/>
            <w:r w:rsidR="00EF414A">
              <w:rPr>
                <w:spacing w:val="-6"/>
                <w:sz w:val="18"/>
                <w:szCs w:val="18"/>
              </w:rPr>
              <w:t xml:space="preserve">граждан </w:t>
            </w:r>
            <w:r w:rsidR="00FC626C">
              <w:rPr>
                <w:spacing w:val="-6"/>
                <w:sz w:val="18"/>
                <w:szCs w:val="18"/>
              </w:rPr>
              <w:t xml:space="preserve"> исключены</w:t>
            </w:r>
            <w:proofErr w:type="gramEnd"/>
            <w:r w:rsidR="00FC626C">
              <w:rPr>
                <w:spacing w:val="-6"/>
                <w:sz w:val="18"/>
                <w:szCs w:val="18"/>
              </w:rPr>
              <w:t xml:space="preserve"> </w:t>
            </w:r>
            <w:r w:rsidRPr="009601D0">
              <w:rPr>
                <w:spacing w:val="-6"/>
                <w:sz w:val="18"/>
                <w:szCs w:val="18"/>
              </w:rPr>
              <w:t xml:space="preserve">из регионального проекта </w:t>
            </w:r>
            <w:r w:rsidRPr="00CD123E">
              <w:rPr>
                <w:spacing w:val="-6"/>
                <w:sz w:val="18"/>
                <w:szCs w:val="18"/>
              </w:rPr>
              <w:t>«Старшее поколение»</w:t>
            </w:r>
          </w:p>
          <w:p w:rsidR="00CD123E" w:rsidRPr="00846679" w:rsidRDefault="00CD123E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D123E">
              <w:rPr>
                <w:rFonts w:ascii="Times New Roman" w:hAnsi="Times New Roman" w:cs="Times New Roman"/>
                <w:sz w:val="18"/>
                <w:szCs w:val="18"/>
              </w:rPr>
              <w:t>(национальн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CD123E">
              <w:rPr>
                <w:rFonts w:ascii="Times New Roman" w:hAnsi="Times New Roman" w:cs="Times New Roman"/>
                <w:sz w:val="18"/>
                <w:szCs w:val="18"/>
              </w:rPr>
              <w:t xml:space="preserve"> проект «Демография»)</w:t>
            </w:r>
          </w:p>
        </w:tc>
      </w:tr>
      <w:tr w:rsidR="0016495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64952" w:rsidRPr="00846679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164952" w:rsidRPr="00846679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164952" w:rsidRPr="00846679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64952" w:rsidRPr="00846679" w:rsidRDefault="00164952" w:rsidP="00253D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Р3</w:t>
            </w:r>
          </w:p>
        </w:tc>
        <w:tc>
          <w:tcPr>
            <w:tcW w:w="1005" w:type="dxa"/>
            <w:gridSpan w:val="5"/>
          </w:tcPr>
          <w:p w:rsidR="00164952" w:rsidRPr="00846679" w:rsidRDefault="00164952" w:rsidP="001164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65952,6</w:t>
            </w:r>
          </w:p>
        </w:tc>
        <w:tc>
          <w:tcPr>
            <w:tcW w:w="992" w:type="dxa"/>
            <w:gridSpan w:val="6"/>
          </w:tcPr>
          <w:p w:rsidR="00164952" w:rsidRPr="00846679" w:rsidRDefault="00164952" w:rsidP="00227D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37625,7</w:t>
            </w:r>
          </w:p>
        </w:tc>
        <w:tc>
          <w:tcPr>
            <w:tcW w:w="994" w:type="dxa"/>
            <w:gridSpan w:val="6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64952" w:rsidRPr="00846679" w:rsidRDefault="001649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64952" w:rsidRPr="00846679" w:rsidRDefault="00164952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164952" w:rsidRPr="00846679" w:rsidRDefault="00164952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164952" w:rsidRPr="00846679" w:rsidRDefault="00164952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64952" w:rsidRPr="00846679" w:rsidRDefault="00164952" w:rsidP="00545C75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64952" w:rsidRPr="00846679" w:rsidRDefault="0016495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164952" w:rsidRPr="00846679" w:rsidRDefault="0016495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164952" w:rsidRPr="00846679" w:rsidRDefault="0016495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64952" w:rsidRPr="00846679" w:rsidRDefault="0016495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64952" w:rsidRPr="00846679" w:rsidRDefault="0016495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52" w:rsidRPr="00846679" w:rsidTr="004F456E">
        <w:trPr>
          <w:trHeight w:val="3587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4952" w:rsidRPr="00846679" w:rsidRDefault="00164952" w:rsidP="00545C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164952" w:rsidRPr="00846679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64952" w:rsidRPr="00846679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164952" w:rsidRPr="00846679" w:rsidRDefault="0016495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64952" w:rsidRPr="00846679" w:rsidRDefault="0016495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164952" w:rsidRPr="00846679" w:rsidRDefault="0016495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164952" w:rsidRPr="00846679" w:rsidRDefault="0016495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322742" w:rsidRPr="007A4807" w:rsidRDefault="00322742" w:rsidP="007A4807">
            <w:pPr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 xml:space="preserve">1.1.1.1.1.4. Основное мероприятие 4. Региональный проект </w:t>
            </w:r>
            <w:r w:rsidRPr="007A4807">
              <w:rPr>
                <w:sz w:val="18"/>
                <w:szCs w:val="18"/>
              </w:rPr>
              <w:t xml:space="preserve">«Содействие занятости женщин – </w:t>
            </w:r>
            <w:r w:rsidRPr="007A4807">
              <w:rPr>
                <w:sz w:val="18"/>
                <w:szCs w:val="18"/>
              </w:rPr>
              <w:lastRenderedPageBreak/>
              <w:t xml:space="preserve">создание условий дошкольного образования </w:t>
            </w:r>
          </w:p>
          <w:p w:rsidR="00322742" w:rsidRPr="00993CD8" w:rsidRDefault="00322742" w:rsidP="007A4807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</w:rPr>
              <w:t>для детей в возрасте до трех лет»</w:t>
            </w:r>
          </w:p>
        </w:tc>
        <w:tc>
          <w:tcPr>
            <w:tcW w:w="1417" w:type="dxa"/>
            <w:shd w:val="clear" w:color="auto" w:fill="auto"/>
          </w:tcPr>
          <w:p w:rsidR="00322742" w:rsidRPr="00993CD8" w:rsidRDefault="00322742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993CD8" w:rsidRDefault="00322742" w:rsidP="00545C75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322742" w:rsidRPr="00993CD8" w:rsidRDefault="00322742" w:rsidP="00545C75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993CD8" w:rsidRDefault="00322742" w:rsidP="00545C75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993CD8" w:rsidRDefault="00322742" w:rsidP="00F76918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</w:tcPr>
          <w:p w:rsidR="00322742" w:rsidRPr="00993CD8" w:rsidRDefault="00322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993CD8" w:rsidRDefault="0032274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1832,6</w:t>
            </w:r>
          </w:p>
        </w:tc>
        <w:tc>
          <w:tcPr>
            <w:tcW w:w="994" w:type="dxa"/>
            <w:gridSpan w:val="6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322742" w:rsidRPr="00846679" w:rsidRDefault="0032274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322742" w:rsidRPr="00846679" w:rsidRDefault="00322742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НСО, учреждения занятости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322742" w:rsidRPr="00846679" w:rsidRDefault="00322742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2020 году </w:t>
            </w:r>
          </w:p>
          <w:p w:rsidR="00322742" w:rsidRPr="00846679" w:rsidRDefault="00322742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331 женщин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742" w:rsidRPr="00846679" w:rsidRDefault="00322742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период отпуска </w:t>
            </w:r>
          </w:p>
          <w:p w:rsidR="00322742" w:rsidRPr="00846679" w:rsidRDefault="00322742" w:rsidP="003925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уходу за ребенком до достижения им возраста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трех лет,</w:t>
            </w:r>
          </w:p>
          <w:p w:rsidR="00322742" w:rsidRPr="00846679" w:rsidRDefault="00322742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 также женщин, имеющих детей дошкольного возраста, не состоящих </w:t>
            </w:r>
          </w:p>
          <w:p w:rsidR="00322742" w:rsidRPr="00846679" w:rsidRDefault="00322742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трудовых отношениях и обратившихся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742" w:rsidRPr="00846679" w:rsidRDefault="00322742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органы службы занятости,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йдут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 профессиональное</w:t>
            </w:r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переобучение </w:t>
            </w:r>
          </w:p>
          <w:p w:rsidR="00322742" w:rsidRDefault="00322742" w:rsidP="00F04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742" w:rsidRPr="00CD123E" w:rsidRDefault="00322742" w:rsidP="00CD123E">
            <w:pPr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С 2021 года наименование </w:t>
            </w:r>
            <w:r w:rsidRPr="009601D0">
              <w:rPr>
                <w:spacing w:val="-6"/>
                <w:sz w:val="18"/>
                <w:szCs w:val="18"/>
              </w:rPr>
              <w:t xml:space="preserve">регионального проекта </w:t>
            </w:r>
          </w:p>
          <w:p w:rsidR="00322742" w:rsidRPr="00846679" w:rsidRDefault="00322742" w:rsidP="00054A8E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 «Содействие занятости женщин – создание условий дошкольного образования </w:t>
            </w:r>
          </w:p>
          <w:p w:rsidR="00322742" w:rsidRDefault="00322742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D123E">
              <w:rPr>
                <w:rFonts w:ascii="Times New Roman" w:hAnsi="Times New Roman" w:cs="Times New Roman"/>
                <w:sz w:val="18"/>
                <w:szCs w:val="18"/>
              </w:rPr>
              <w:t xml:space="preserve">для детей в возрасте до трех лет»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изменено на «Содействие занятости».</w:t>
            </w:r>
          </w:p>
          <w:p w:rsidR="00322742" w:rsidRPr="00CD123E" w:rsidRDefault="00322742" w:rsidP="001332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профессиональному обучению женщин, имеющих детей, не состоящих в трудовых отношениях, региональным проектом «Содействие занятости» не предусмотрены.</w:t>
            </w:r>
          </w:p>
        </w:tc>
      </w:tr>
      <w:tr w:rsidR="0032274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993CD8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  <w:p w:rsidR="00A001C1" w:rsidRPr="00993CD8" w:rsidRDefault="00A001C1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993CD8" w:rsidRDefault="00322742" w:rsidP="00253D74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322742" w:rsidRPr="00993CD8" w:rsidRDefault="00322742" w:rsidP="00253D74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993CD8" w:rsidRDefault="00322742" w:rsidP="00253D74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993CD8" w:rsidRDefault="00322742" w:rsidP="009A266E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</w:tcPr>
          <w:p w:rsidR="00322742" w:rsidRPr="00993CD8" w:rsidRDefault="00322742" w:rsidP="00545C7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993CD8" w:rsidRDefault="00322742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19023,8</w:t>
            </w:r>
          </w:p>
        </w:tc>
        <w:tc>
          <w:tcPr>
            <w:tcW w:w="994" w:type="dxa"/>
            <w:gridSpan w:val="6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5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</w:tcPr>
          <w:p w:rsidR="00322742" w:rsidRPr="00993CD8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4F456E">
        <w:trPr>
          <w:trHeight w:val="2325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619" w:rsidRPr="00846679" w:rsidTr="007A4807">
        <w:trPr>
          <w:trHeight w:val="337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011619" w:rsidRPr="007A4807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A4807">
              <w:rPr>
                <w:rFonts w:ascii="Times New Roman" w:hAnsi="Times New Roman" w:cs="Times New Roman"/>
                <w:sz w:val="18"/>
                <w:szCs w:val="18"/>
              </w:rPr>
              <w:t>1.1.1.1.1.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A4807">
              <w:rPr>
                <w:rFonts w:ascii="Times New Roman" w:hAnsi="Times New Roman" w:cs="Times New Roman"/>
                <w:sz w:val="18"/>
                <w:szCs w:val="18"/>
              </w:rPr>
              <w:t>. Основное мероприятие 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A4807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Региональный проект «Содействие занятости»</w:t>
            </w:r>
          </w:p>
        </w:tc>
        <w:tc>
          <w:tcPr>
            <w:tcW w:w="1417" w:type="dxa"/>
            <w:shd w:val="clear" w:color="auto" w:fill="auto"/>
          </w:tcPr>
          <w:p w:rsidR="00011619" w:rsidRPr="00993CD8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</w:tcPr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6"/>
          </w:tcPr>
          <w:p w:rsidR="00011619" w:rsidRPr="00993CD8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5900,0</w:t>
            </w:r>
          </w:p>
        </w:tc>
        <w:tc>
          <w:tcPr>
            <w:tcW w:w="994" w:type="dxa"/>
            <w:gridSpan w:val="5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6100,0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1462,8</w:t>
            </w:r>
          </w:p>
        </w:tc>
        <w:tc>
          <w:tcPr>
            <w:tcW w:w="1000" w:type="dxa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011619" w:rsidRPr="00E31A1B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A1B">
              <w:rPr>
                <w:rFonts w:ascii="Times New Roman" w:hAnsi="Times New Roman" w:cs="Times New Roman"/>
                <w:sz w:val="18"/>
                <w:szCs w:val="18"/>
              </w:rPr>
              <w:t>За 2021-2022 годы в рамках регионального проекта «Содействие занятости» в 2 учреждениях занятости населения будут внедрены проекты по повышению эффективности службы занятости населения.</w:t>
            </w:r>
          </w:p>
          <w:p w:rsidR="00011619" w:rsidRPr="00E31A1B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31A1B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в рамках реализации мероприятий, направленных на снижение напряженности на рынке </w:t>
            </w:r>
            <w:r w:rsidRPr="00E31A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труда будут трудоустроены на общественные и временные работы не менее 1,7 тыс. человек, пройдут профессиональное обучение и получат дополнительное профессиональное образование не менее 166 работников промышленных предприятий. </w:t>
            </w:r>
          </w:p>
        </w:tc>
      </w:tr>
      <w:tr w:rsidR="00011619" w:rsidRPr="00846679" w:rsidTr="007A4807">
        <w:trPr>
          <w:trHeight w:val="343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011619" w:rsidRPr="00846679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11619" w:rsidRPr="00993CD8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011619" w:rsidRPr="00993CD8" w:rsidRDefault="00011619" w:rsidP="00011619">
            <w:pPr>
              <w:jc w:val="center"/>
              <w:rPr>
                <w:sz w:val="18"/>
                <w:szCs w:val="18"/>
              </w:rPr>
            </w:pPr>
            <w:r w:rsidRPr="00993CD8">
              <w:rPr>
                <w:sz w:val="18"/>
                <w:szCs w:val="18"/>
              </w:rPr>
              <w:t>Р2</w:t>
            </w:r>
          </w:p>
        </w:tc>
        <w:tc>
          <w:tcPr>
            <w:tcW w:w="1005" w:type="dxa"/>
            <w:gridSpan w:val="5"/>
          </w:tcPr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011619" w:rsidRPr="00846679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6"/>
          </w:tcPr>
          <w:p w:rsidR="00011619" w:rsidRPr="00993CD8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CD8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994" w:type="dxa"/>
            <w:gridSpan w:val="5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9600,0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144817,2</w:t>
            </w:r>
          </w:p>
        </w:tc>
        <w:tc>
          <w:tcPr>
            <w:tcW w:w="1000" w:type="dxa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011619" w:rsidRPr="00C97056" w:rsidRDefault="00011619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011619" w:rsidRPr="00846679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011619" w:rsidRPr="00846679" w:rsidRDefault="00011619" w:rsidP="000116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7A4807">
        <w:trPr>
          <w:trHeight w:val="409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7A4807">
        <w:trPr>
          <w:trHeight w:val="424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742" w:rsidRPr="00846679" w:rsidTr="007A4807">
        <w:trPr>
          <w:trHeight w:val="424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322742" w:rsidRPr="00846679" w:rsidRDefault="00322742" w:rsidP="007A4807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6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322742" w:rsidRPr="00846679" w:rsidRDefault="00322742" w:rsidP="007A4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322742" w:rsidRPr="00846679" w:rsidRDefault="00322742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7A4807" w:rsidRPr="00846679" w:rsidRDefault="007A4807" w:rsidP="003936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1.1.1.1.2. Задача 2. Повышение трудовой мобильности населения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A4807" w:rsidRPr="00846679" w:rsidRDefault="007A4807" w:rsidP="009D095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1.1.1.1.2.1. Основное мероприятие 5.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гражданам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трудоустройстве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постоянные и временные рабочие места в другой местности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(вне территории постоянного проживания)</w:t>
            </w: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</w:tcPr>
          <w:p w:rsidR="007A4807" w:rsidRPr="00846679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846679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A4807" w:rsidRPr="00846679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846679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A4807" w:rsidRPr="00846679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не менее 4,2 тыс. граждан будет оказано содействие </w:t>
            </w:r>
          </w:p>
          <w:p w:rsidR="007A4807" w:rsidRPr="00846679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трудоустройстве </w:t>
            </w:r>
          </w:p>
          <w:p w:rsidR="007A4807" w:rsidRPr="00846679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 постоянные и временные рабочие места в другой местности. Удельный вес безработных граждан, трудоустроенных </w:t>
            </w:r>
          </w:p>
          <w:p w:rsidR="007A4807" w:rsidRPr="00846679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другой местности при содействии учреждений занятости населения, </w:t>
            </w:r>
          </w:p>
          <w:p w:rsidR="007A4807" w:rsidRPr="00846679" w:rsidRDefault="007A4807" w:rsidP="004A1B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общей численности безработных граждан, зарегистрированных в учреждениях занятости населения, в 2025 году составит не менее 6,0%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DF6A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DF6AF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  <w:tcBorders>
              <w:bottom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7"/>
            <w:tcBorders>
              <w:bottom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  <w:tcBorders>
              <w:bottom w:val="nil"/>
            </w:tcBorders>
          </w:tcPr>
          <w:p w:rsidR="007A4807" w:rsidRPr="00846679" w:rsidRDefault="007A4807" w:rsidP="009167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1.1.1.1.3. Задача 3. Обеспечение социальной поддержки безработных граждан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E17584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1.1.1.1.3.1. Основное мероприятие 6.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переданного полномочия Российской Федерации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Законом Российской Федерации от 19 апреля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1991 года № 1032-1 «О занятости населения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807" w:rsidRPr="00846679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846679" w:rsidRDefault="007A4807" w:rsidP="009D09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НСО, учреждения занятости населения во взаимодействии с Отделением Пенсионного фонда Российской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по Новосибирской области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Уровень обеспеченности безработных граждан государственными услугами в части осуществления социальных выплат </w:t>
            </w:r>
          </w:p>
          <w:p w:rsidR="007A4807" w:rsidRPr="00846679" w:rsidRDefault="007A4807" w:rsidP="009D09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срока реализации государственной программы будет поддерживаться на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уровне не менее 98,6%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</w:tcBorders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989993,4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</w:tcBorders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3887009,1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</w:tcBorders>
          </w:tcPr>
          <w:p w:rsidR="00C97056" w:rsidRPr="00AB52D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2149280,4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</w:tcBorders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1286305,5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2367521,5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2548025,9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2575907,8</w:t>
            </w:r>
          </w:p>
        </w:tc>
        <w:tc>
          <w:tcPr>
            <w:tcW w:w="1407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8" w:type="dxa"/>
            <w:gridSpan w:val="3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3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7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7A4807" w:rsidRPr="00846679" w:rsidRDefault="007A4807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1.1.1.1.4.1. Основное мероприятие 7.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функционирования учреждений занятости населения</w:t>
            </w:r>
          </w:p>
        </w:tc>
        <w:tc>
          <w:tcPr>
            <w:tcW w:w="1417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71" w:type="dxa"/>
            <w:gridSpan w:val="2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365400,3</w:t>
            </w:r>
          </w:p>
        </w:tc>
        <w:tc>
          <w:tcPr>
            <w:tcW w:w="984" w:type="dxa"/>
            <w:gridSpan w:val="8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379074,1</w:t>
            </w:r>
          </w:p>
        </w:tc>
        <w:tc>
          <w:tcPr>
            <w:tcW w:w="1008" w:type="dxa"/>
            <w:gridSpan w:val="6"/>
          </w:tcPr>
          <w:p w:rsidR="00C97056" w:rsidRPr="00AB52D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392007,7</w:t>
            </w:r>
          </w:p>
        </w:tc>
        <w:tc>
          <w:tcPr>
            <w:tcW w:w="994" w:type="dxa"/>
            <w:gridSpan w:val="5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472968,9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521599,7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541802,1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563224,4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населения, ГАУ НСО «ЦРПК»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учреждений занятости населения, расположенных в 32 муниципальных образованиях Новосибирской области, и ГАУ НСО «ЦРПК». Уровень удовлетворенности граждан, ищущих работу, предоставленными государственными услугами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будет поддерживаться на уровне не менее 98,5% от общего количества граждан, ищущих работу, обратившихся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>занятости населения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71" w:type="dxa"/>
            <w:gridSpan w:val="2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A4807" w:rsidRPr="00846679" w:rsidRDefault="007A4807" w:rsidP="00D462D1">
            <w:pPr>
              <w:adjustRightInd w:val="0"/>
              <w:outlineLvl w:val="2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1.1.1.1.4.2. Основное мероприятие 8.</w:t>
            </w:r>
          </w:p>
          <w:p w:rsidR="007A4807" w:rsidRPr="00846679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</w:p>
          <w:p w:rsidR="007A4807" w:rsidRPr="00846679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развитие информационных технологий, предоставление государственных услуг в области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содействия занятости населения </w:t>
            </w:r>
          </w:p>
          <w:p w:rsidR="007A4807" w:rsidRPr="00846679" w:rsidRDefault="007A4807" w:rsidP="00D462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электронном виде</w:t>
            </w: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98" w:type="dxa"/>
            <w:gridSpan w:val="35"/>
          </w:tcPr>
          <w:p w:rsidR="007A4807" w:rsidRPr="00846679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</w:t>
            </w:r>
          </w:p>
          <w:p w:rsidR="007A4807" w:rsidRPr="00846679" w:rsidRDefault="007A4807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 рамках текущей деятельности учреждений занятости населения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A4807" w:rsidRPr="00846679" w:rsidRDefault="007A4807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и доступности получения государственных услуг </w:t>
            </w:r>
          </w:p>
          <w:p w:rsidR="007A4807" w:rsidRPr="00846679" w:rsidRDefault="007A4807" w:rsidP="003760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области содействия занятости населения, создание комфортных условий для получателей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услуг, обеспечение интернет-представительства учреждений занятости населения.</w:t>
            </w:r>
          </w:p>
          <w:p w:rsidR="007A4807" w:rsidRPr="00846679" w:rsidRDefault="007A4807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Будет обеспечено функционирование </w:t>
            </w:r>
          </w:p>
          <w:p w:rsidR="007A4807" w:rsidRPr="00846679" w:rsidRDefault="007A4807" w:rsidP="002979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13 мобильных центров, из них 11 – обслуживающих население Новосибирской области, и 2 мобильных центра, обслуживающих население города Новосибирска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65" w:type="dxa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9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9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7A4807" w:rsidRPr="00846679" w:rsidRDefault="007A4807" w:rsidP="00054A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1.1.1.1.5</w:t>
            </w:r>
            <w:r w:rsidRPr="00AB52D6">
              <w:rPr>
                <w:rFonts w:ascii="Times New Roman" w:hAnsi="Times New Roman" w:cs="Times New Roman"/>
                <w:sz w:val="18"/>
                <w:szCs w:val="18"/>
              </w:rPr>
              <w:t xml:space="preserve">. Задача 5. Повышение производительности труда на средних и крупных предприятиях базовых </w:t>
            </w:r>
            <w:proofErr w:type="spellStart"/>
            <w:r w:rsidRPr="00AB52D6">
              <w:rPr>
                <w:rFonts w:ascii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B52D6">
              <w:rPr>
                <w:rFonts w:ascii="Times New Roman" w:hAnsi="Times New Roman" w:cs="Times New Roman"/>
                <w:sz w:val="18"/>
                <w:szCs w:val="18"/>
              </w:rPr>
              <w:t xml:space="preserve"> отраслей экономики Новосибирской области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A4807" w:rsidRPr="00846679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1.1.1.1.5.1. Основное мероприятие 9. Региональный проект «Адресная поддержка повышения производительности труда </w:t>
            </w:r>
          </w:p>
          <w:p w:rsidR="007A4807" w:rsidRPr="00846679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предприятиях»</w:t>
            </w: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9A266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 w:val="restart"/>
          </w:tcPr>
          <w:p w:rsidR="007A4807" w:rsidRPr="00846679" w:rsidRDefault="007A4807" w:rsidP="005C3FF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Финанси-рование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A4807" w:rsidRPr="00846679" w:rsidRDefault="007A4807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не требуется, реализация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осуще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A4807" w:rsidRPr="00846679" w:rsidRDefault="007A4807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ствлялась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4807" w:rsidRPr="00846679" w:rsidRDefault="007A4807" w:rsidP="003F60E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основной </w:t>
            </w:r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деятель-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исполни-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-приятия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15600,0</w:t>
            </w:r>
          </w:p>
        </w:tc>
        <w:tc>
          <w:tcPr>
            <w:tcW w:w="995" w:type="dxa"/>
            <w:gridSpan w:val="6"/>
          </w:tcPr>
          <w:p w:rsidR="007A4807" w:rsidRPr="00AB52D6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D6">
              <w:rPr>
                <w:rFonts w:ascii="Times New Roman" w:hAnsi="Times New Roman" w:cs="Times New Roman"/>
                <w:sz w:val="18"/>
                <w:szCs w:val="18"/>
              </w:rPr>
              <w:t>14700,0</w:t>
            </w:r>
          </w:p>
        </w:tc>
        <w:tc>
          <w:tcPr>
            <w:tcW w:w="995" w:type="dxa"/>
            <w:gridSpan w:val="5"/>
          </w:tcPr>
          <w:p w:rsidR="007A4807" w:rsidRPr="00AB52D6" w:rsidRDefault="004B3000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AB52D6" w:rsidRDefault="004B3000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AB52D6" w:rsidRDefault="004B3000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АО «АИР НСО» (РЦК)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В 2019 году создан Региональный центр компетенций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в сфере производительности труда на базе 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АО «Агентство инвестиционного развития Новосибирской области» (далее – РЦК).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В период 2020-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3000" w:rsidRPr="00372E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 годов будет осуществлено материально-техническое и финансовое обеспечение РЦК. В рамках деятельности РЦК 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будут оказаны услуги, 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:rsidR="007A4807" w:rsidRPr="00372E1E" w:rsidRDefault="007A4807" w:rsidP="004B30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по информационной, организационной поддержке </w:t>
            </w:r>
          </w:p>
          <w:p w:rsidR="00BD451B" w:rsidRDefault="007A4807" w:rsidP="00BD45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 w:rsidR="005638FD" w:rsidRPr="00372E1E">
              <w:rPr>
                <w:rFonts w:ascii="Times New Roman" w:hAnsi="Times New Roman" w:cs="Times New Roman"/>
                <w:sz w:val="18"/>
                <w:szCs w:val="18"/>
              </w:rPr>
              <w:t>дприяти</w:t>
            </w:r>
            <w:r w:rsidR="00BD45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5638FD" w:rsidRPr="00372E1E">
              <w:rPr>
                <w:rFonts w:ascii="Times New Roman" w:hAnsi="Times New Roman" w:cs="Times New Roman"/>
                <w:sz w:val="18"/>
                <w:szCs w:val="18"/>
              </w:rPr>
              <w:t>-участник</w:t>
            </w:r>
            <w:r w:rsidR="00BD451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регионального проекта, на которых будут внедрены мероприятия по повышению производительности труда</w:t>
            </w:r>
            <w:r w:rsidR="00BD45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7ACF" w:rsidRPr="00372E1E" w:rsidRDefault="004B3000" w:rsidP="00BD451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 </w:t>
            </w:r>
            <w:proofErr w:type="gramStart"/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01.01.2022 </w:t>
            </w:r>
            <w:r w:rsidR="00B1678B"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</w:t>
            </w:r>
            <w:proofErr w:type="gramEnd"/>
            <w:r w:rsidR="00B1678B"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будет осуществляться в рамках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D76F7C">
            <w:pPr>
              <w:ind w:left="-75" w:firstLine="75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073E81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4"/>
            <w:vMerge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36878,7</w:t>
            </w:r>
          </w:p>
        </w:tc>
        <w:tc>
          <w:tcPr>
            <w:tcW w:w="995" w:type="dxa"/>
            <w:gridSpan w:val="6"/>
          </w:tcPr>
          <w:p w:rsidR="007A4807" w:rsidRPr="00AB52D6" w:rsidRDefault="007A4807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2D6">
              <w:rPr>
                <w:rFonts w:ascii="Times New Roman" w:hAnsi="Times New Roman" w:cs="Times New Roman"/>
                <w:sz w:val="18"/>
                <w:szCs w:val="18"/>
              </w:rPr>
              <w:t>35487,2</w:t>
            </w:r>
          </w:p>
        </w:tc>
        <w:tc>
          <w:tcPr>
            <w:tcW w:w="995" w:type="dxa"/>
            <w:gridSpan w:val="5"/>
          </w:tcPr>
          <w:p w:rsidR="007A4807" w:rsidRPr="00AB52D6" w:rsidRDefault="004B3000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AB52D6" w:rsidRDefault="004B3000" w:rsidP="009608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AB52D6" w:rsidRDefault="004B3000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  <w:vMerge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  <w:vMerge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A4807" w:rsidRPr="00846679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1.1.1.1.5.2. Основное мероприятие 10. Региональный проект «Поддержка занятости </w:t>
            </w:r>
          </w:p>
          <w:p w:rsidR="007A4807" w:rsidRPr="00846679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эффективности рынка труда для обеспечения роста производительности труда»</w:t>
            </w: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  <w:lang w:val="en-US"/>
              </w:rPr>
              <w:t>L</w:t>
            </w:r>
            <w:r w:rsidRPr="0084667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426,7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7A4807" w:rsidRPr="00846679" w:rsidRDefault="007A4807" w:rsidP="005C3F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соцразвития НСО, учреждения занятости населения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7A4807" w:rsidRPr="00846679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2020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4807" w:rsidRPr="00846679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предприятий –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астников регионального проекта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пройдут профессиональное переобучение </w:t>
            </w:r>
          </w:p>
          <w:p w:rsidR="007A4807" w:rsidRPr="00846679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повышение квалификации в целях поддержки занятости</w:t>
            </w:r>
          </w:p>
          <w:p w:rsidR="007A4807" w:rsidRPr="00846679" w:rsidRDefault="007A4807" w:rsidP="00D40D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повышения эффективности регионального рынка труда.</w:t>
            </w:r>
          </w:p>
          <w:p w:rsidR="007A4807" w:rsidRPr="008A1134" w:rsidRDefault="007A4807" w:rsidP="00C9191F">
            <w:pPr>
              <w:rPr>
                <w:rFonts w:eastAsia="Arial Unicode MS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Реализация регионального</w:t>
            </w:r>
            <w:r w:rsidRPr="009601D0">
              <w:rPr>
                <w:spacing w:val="-6"/>
                <w:sz w:val="18"/>
                <w:szCs w:val="18"/>
              </w:rPr>
              <w:t xml:space="preserve"> проект</w:t>
            </w:r>
            <w:r>
              <w:rPr>
                <w:spacing w:val="-6"/>
                <w:sz w:val="18"/>
                <w:szCs w:val="18"/>
              </w:rPr>
              <w:t>а</w:t>
            </w:r>
          </w:p>
          <w:p w:rsidR="007A4807" w:rsidRPr="00C9191F" w:rsidRDefault="007A4807" w:rsidP="00C919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F">
              <w:rPr>
                <w:rFonts w:ascii="Times New Roman" w:eastAsia="Arial Unicode MS" w:hAnsi="Times New Roman" w:cs="Times New Roman"/>
                <w:sz w:val="18"/>
                <w:szCs w:val="18"/>
              </w:rPr>
              <w:t>«Поддержка занятости и повышение эффективности рынка труда для обеспечения роста производительности труда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C9191F">
              <w:rPr>
                <w:rFonts w:ascii="Times New Roman" w:hAnsi="Times New Roman" w:cs="Times New Roman"/>
                <w:sz w:val="18"/>
                <w:szCs w:val="18"/>
              </w:rPr>
              <w:t>завершена в 2020 году</w:t>
            </w: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253D74">
            <w:pPr>
              <w:jc w:val="center"/>
              <w:rPr>
                <w:sz w:val="18"/>
                <w:szCs w:val="18"/>
                <w:lang w:val="en-US"/>
              </w:rPr>
            </w:pPr>
            <w:r w:rsidRPr="00846679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10239,7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CD12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D610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807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A4807" w:rsidRPr="00846679" w:rsidRDefault="007A4807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7A4807" w:rsidRPr="00846679" w:rsidRDefault="007A4807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7A4807" w:rsidRPr="00846679" w:rsidRDefault="007A4807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7A4807" w:rsidRPr="00846679" w:rsidRDefault="007A4807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7A4807" w:rsidRPr="00846679" w:rsidRDefault="007A4807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0A0" w:rsidRPr="00846679" w:rsidTr="005E5712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7540A0" w:rsidRDefault="007540A0" w:rsidP="00E441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1.1.1.1.5.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. Основное мероприятие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. Региональный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«Системные меры по повышению производительности труда»</w:t>
            </w:r>
          </w:p>
          <w:p w:rsidR="00A001C1" w:rsidRDefault="00A001C1" w:rsidP="00E441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1C1" w:rsidRPr="00846679" w:rsidRDefault="00A001C1" w:rsidP="00E441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40A0" w:rsidRPr="00846679" w:rsidRDefault="007540A0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98" w:type="dxa"/>
            <w:gridSpan w:val="35"/>
            <w:shd w:val="clear" w:color="auto" w:fill="auto"/>
          </w:tcPr>
          <w:p w:rsidR="007540A0" w:rsidRPr="00846679" w:rsidRDefault="007540A0" w:rsidP="00CD123E">
            <w:pPr>
              <w:jc w:val="center"/>
              <w:rPr>
                <w:sz w:val="18"/>
                <w:szCs w:val="18"/>
              </w:rPr>
            </w:pPr>
            <w:r w:rsidRPr="007540A0">
              <w:rPr>
                <w:sz w:val="18"/>
                <w:szCs w:val="18"/>
              </w:rPr>
              <w:t>Финансирование для мероприятия не требуется, реализация осуществляется в рамках основной деятельности Минтруда и соцразвития НСО</w:t>
            </w:r>
          </w:p>
          <w:p w:rsidR="007540A0" w:rsidRPr="00846679" w:rsidRDefault="007540A0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7540A0" w:rsidRDefault="007540A0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Минтруда и соцразвития НСО</w:t>
            </w:r>
          </w:p>
          <w:p w:rsidR="00A001C1" w:rsidRDefault="00A001C1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01C1" w:rsidRDefault="00A001C1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01C1" w:rsidRDefault="00A001C1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01C1" w:rsidRDefault="00A001C1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01C1" w:rsidRPr="00846679" w:rsidRDefault="00A001C1" w:rsidP="003E19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  <w:shd w:val="clear" w:color="auto" w:fill="auto"/>
          </w:tcPr>
          <w:p w:rsidR="00B04EB1" w:rsidRPr="00D44EC4" w:rsidRDefault="007540A0" w:rsidP="00B04E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44E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2021 год</w:t>
            </w:r>
            <w:r w:rsidR="005638FD" w:rsidRPr="00D44EC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44EC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</w:t>
            </w:r>
            <w:r w:rsidR="00B04EB1" w:rsidRPr="00D44EC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D44EC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руководителей предприятий – </w:t>
            </w:r>
            <w:proofErr w:type="gramStart"/>
            <w:r w:rsidRPr="00D44EC4">
              <w:rPr>
                <w:rFonts w:ascii="Times New Roman" w:hAnsi="Times New Roman" w:cs="Times New Roman"/>
                <w:sz w:val="18"/>
                <w:szCs w:val="18"/>
              </w:rPr>
              <w:t>участников  регионального</w:t>
            </w:r>
            <w:proofErr w:type="gramEnd"/>
            <w:r w:rsidRPr="00D44EC4">
              <w:rPr>
                <w:rFonts w:ascii="Times New Roman" w:hAnsi="Times New Roman" w:cs="Times New Roman"/>
                <w:sz w:val="18"/>
                <w:szCs w:val="18"/>
              </w:rPr>
              <w:t xml:space="preserve"> проекта пройдут обучение по программе </w:t>
            </w:r>
            <w:r w:rsidRPr="00D44E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управленческих навыков для повышения производительности труда</w:t>
            </w:r>
            <w:r w:rsidR="005638FD" w:rsidRPr="00D44EC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540A0" w:rsidRPr="00D44EC4" w:rsidRDefault="00372E1E" w:rsidP="00B04E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С </w:t>
            </w:r>
            <w:proofErr w:type="gramStart"/>
            <w:r w:rsidRPr="00372E1E">
              <w:rPr>
                <w:rFonts w:ascii="Times New Roman" w:hAnsi="Times New Roman" w:cs="Times New Roman"/>
                <w:sz w:val="18"/>
                <w:szCs w:val="18"/>
              </w:rPr>
              <w:t>01.01.2022  реализация</w:t>
            </w:r>
            <w:proofErr w:type="gramEnd"/>
            <w:r w:rsidRPr="00372E1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будет осуществляться в рамках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7540A0">
        <w:trPr>
          <w:trHeight w:val="625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CD123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CD123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F3F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1417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504292,6</w:t>
            </w:r>
          </w:p>
        </w:tc>
        <w:tc>
          <w:tcPr>
            <w:tcW w:w="1033" w:type="dxa"/>
            <w:gridSpan w:val="8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534727,0</w:t>
            </w:r>
          </w:p>
        </w:tc>
        <w:tc>
          <w:tcPr>
            <w:tcW w:w="995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520117,4</w:t>
            </w:r>
          </w:p>
        </w:tc>
        <w:tc>
          <w:tcPr>
            <w:tcW w:w="995" w:type="dxa"/>
            <w:gridSpan w:val="5"/>
          </w:tcPr>
          <w:p w:rsidR="00C97056" w:rsidRPr="00C97056" w:rsidRDefault="00C97056" w:rsidP="000116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586269,</w:t>
            </w:r>
            <w:r w:rsidR="000116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669862,1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688401,7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709824,0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1033" w:type="dxa"/>
            <w:gridSpan w:val="8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5" w:type="dxa"/>
            <w:gridSpan w:val="6"/>
          </w:tcPr>
          <w:p w:rsidR="00C97056" w:rsidRPr="00F70F77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2194367,6</w:t>
            </w:r>
          </w:p>
        </w:tc>
        <w:tc>
          <w:tcPr>
            <w:tcW w:w="995" w:type="dxa"/>
            <w:gridSpan w:val="5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1295905,5</w:t>
            </w:r>
          </w:p>
        </w:tc>
        <w:tc>
          <w:tcPr>
            <w:tcW w:w="933" w:type="dxa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2512338,7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2548025,9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011619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257907,8</w:t>
            </w:r>
          </w:p>
        </w:tc>
        <w:tc>
          <w:tcPr>
            <w:tcW w:w="1407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3" w:type="dxa"/>
            <w:gridSpan w:val="8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 Задача 2. Улучшение условий и охраны труда работников организаций Новосибирской области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1.2.2.1. Цель.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2725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1.2.2.1.1. Задача 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5C3FF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1.2.2.1.1.1. Основное мероприятие 1.</w:t>
            </w:r>
          </w:p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Анализ состояния условий и охраны труда, осуществление контроля </w:t>
            </w:r>
          </w:p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 соблюдением трудового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846679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с ОИОГВ НСО, ГИТ, ГУ НРО ФСС РФ, ФП, Управлением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-надзора </w:t>
            </w:r>
          </w:p>
          <w:p w:rsidR="00BE5139" w:rsidRPr="00846679" w:rsidRDefault="00BE5139" w:rsidP="00E940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НСО, МСЭ, Новосибирск-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статом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администра-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Будет ежегодно проводиться анализ </w:t>
            </w:r>
          </w:p>
          <w:p w:rsidR="00BE5139" w:rsidRPr="00846679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оценка итогов</w:t>
            </w:r>
          </w:p>
          <w:p w:rsidR="00BE5139" w:rsidRPr="00846679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области охраны труда, подготовка доклада «О состоянии условий </w:t>
            </w:r>
          </w:p>
          <w:p w:rsidR="00BE5139" w:rsidRPr="00846679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охраны труда </w:t>
            </w:r>
          </w:p>
          <w:p w:rsidR="00BE5139" w:rsidRPr="00846679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Новосибирской области». Будет ежегодно осуществлен контроль за: выполнением мероприятий </w:t>
            </w:r>
          </w:p>
          <w:p w:rsidR="00BE5139" w:rsidRPr="00846679" w:rsidRDefault="00BE5139" w:rsidP="00DF0B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улучшению условий и охраны труда работников и соблюдением трудового законодательства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5C3FFA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1.2.2.1.1.2. Основное мероприятие 2. </w:t>
            </w:r>
          </w:p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98" w:type="dxa"/>
            <w:gridSpan w:val="35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BE5139" w:rsidRPr="00846679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 во взаимодействии с Минпром-торгом НСО, Минстроем НСО, министерством </w:t>
            </w:r>
            <w:proofErr w:type="spellStart"/>
            <w:r w:rsidRPr="00846679">
              <w:rPr>
                <w:sz w:val="18"/>
                <w:szCs w:val="18"/>
              </w:rPr>
              <w:t>ЖКХиЭ</w:t>
            </w:r>
            <w:proofErr w:type="spellEnd"/>
            <w:r w:rsidRPr="00846679">
              <w:rPr>
                <w:sz w:val="18"/>
                <w:szCs w:val="18"/>
              </w:rPr>
              <w:t xml:space="preserve"> НСО, ГИТ, ФП,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sz w:val="18"/>
                <w:szCs w:val="18"/>
              </w:rPr>
              <w:t>МРиГО</w:t>
            </w:r>
            <w:proofErr w:type="spellEnd"/>
            <w:r w:rsidRPr="00846679">
              <w:rPr>
                <w:sz w:val="18"/>
                <w:szCs w:val="18"/>
              </w:rPr>
              <w:t xml:space="preserve">, </w:t>
            </w:r>
            <w:proofErr w:type="spellStart"/>
            <w:r w:rsidRPr="00846679">
              <w:rPr>
                <w:sz w:val="18"/>
                <w:szCs w:val="18"/>
              </w:rPr>
              <w:t>СРПиР</w:t>
            </w:r>
            <w:proofErr w:type="spellEnd"/>
            <w:r w:rsidRPr="00846679">
              <w:rPr>
                <w:sz w:val="18"/>
                <w:szCs w:val="18"/>
              </w:rPr>
              <w:t xml:space="preserve">, организациями, СУ </w:t>
            </w:r>
            <w:proofErr w:type="spellStart"/>
            <w:r w:rsidRPr="00846679">
              <w:rPr>
                <w:sz w:val="18"/>
                <w:szCs w:val="18"/>
              </w:rPr>
              <w:t>Ростехнадзора</w:t>
            </w:r>
            <w:proofErr w:type="spellEnd"/>
            <w:r w:rsidRPr="00846679">
              <w:rPr>
                <w:sz w:val="18"/>
                <w:szCs w:val="18"/>
              </w:rPr>
              <w:t xml:space="preserve">, МТУ по надзору за ЯРБ Сибири </w:t>
            </w:r>
          </w:p>
          <w:p w:rsidR="00BE5139" w:rsidRPr="00846679" w:rsidRDefault="00BE5139" w:rsidP="00E94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Дальнего Востока </w:t>
            </w:r>
            <w:proofErr w:type="spellStart"/>
            <w:r w:rsidRPr="00846679">
              <w:rPr>
                <w:sz w:val="18"/>
                <w:szCs w:val="18"/>
              </w:rPr>
              <w:t>Ростехнадзора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будут проводиться заседания областной трехсторонней комиссии и территориальных комиссий </w:t>
            </w:r>
          </w:p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регулированию социально-трудовых отношений по вопросам улучшения состояния условий и охраны труда, заседания Экспертного совета по охране труда, где будут рассмотрены вопросы охраны труда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E756F7">
            <w:pPr>
              <w:pStyle w:val="a9"/>
              <w:jc w:val="both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1.2.2.1.1.3. Основное мероприятие 3. </w:t>
            </w:r>
          </w:p>
          <w:p w:rsidR="00BE5139" w:rsidRPr="00846679" w:rsidRDefault="00BE5139" w:rsidP="0097107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846679">
              <w:rPr>
                <w:rFonts w:ascii="Times New Roman" w:eastAsia="Calibri" w:hAnsi="Times New Roman" w:cs="Times New Roman"/>
                <w:sz w:val="18"/>
                <w:szCs w:val="18"/>
              </w:rPr>
              <w:t>инансовое обеспечение предупредительных мер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5C3FF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ГУ НРО ФСС РФ во взаимодействии с организациями, Минтруда </w:t>
            </w:r>
          </w:p>
          <w:p w:rsidR="00BE5139" w:rsidRPr="00846679" w:rsidRDefault="00BE5139" w:rsidP="005C3FF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и соцразвития НСО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работодателей</w:t>
            </w:r>
          </w:p>
          <w:p w:rsidR="00BE5139" w:rsidRPr="00846679" w:rsidRDefault="00BE5139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 возможности использования сумм страховых взносов </w:t>
            </w:r>
          </w:p>
          <w:p w:rsidR="00BE5139" w:rsidRPr="00846679" w:rsidRDefault="00BE5139" w:rsidP="00475F0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 реализацию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301500,0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317955,5</w:t>
            </w:r>
          </w:p>
        </w:tc>
        <w:tc>
          <w:tcPr>
            <w:tcW w:w="1019" w:type="dxa"/>
            <w:gridSpan w:val="6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316450,0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332500,0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345800,0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9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1.2.2.1.2. Задача 2. </w:t>
            </w:r>
            <w:r w:rsidR="008C6873" w:rsidRPr="008C6873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специальной оценки условий труда и внедрения механизма управления профессиональными рисками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5C3FFA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1.2.2.1.2.1. Основное мероприятие 4. </w:t>
            </w:r>
          </w:p>
          <w:p w:rsidR="00BE5139" w:rsidRPr="00846679" w:rsidRDefault="00BE5139" w:rsidP="005C3F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Экспертиза качества специальной оценки </w:t>
            </w:r>
            <w:r w:rsidRPr="0084667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условий труда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846679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ОИОГВ НСО,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7901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 по заявлениям (представлениям) будет проводиться экспертиза качества специальной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оценки условий труда.</w:t>
            </w:r>
          </w:p>
          <w:p w:rsidR="00BE5139" w:rsidRPr="00846679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Администрациями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и ОИОГВ НСО будет продолжено проведение СОУТ </w:t>
            </w:r>
          </w:p>
          <w:p w:rsidR="00BE5139" w:rsidRPr="00846679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подведомственных учреждениях (количество организаций определяются самостоятельно). </w:t>
            </w:r>
          </w:p>
          <w:p w:rsidR="00BE5139" w:rsidRDefault="00BE5139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СОУТ будет проведен анализ качества оказания услуг организациями, проводящими специальную оценку условий труда </w:t>
            </w:r>
          </w:p>
          <w:p w:rsidR="00090F03" w:rsidRPr="00846679" w:rsidRDefault="00090F03" w:rsidP="003C13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7300,0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8600,0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9017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017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C96E1D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6E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1.2.2.1.2.2. Основное мероприятие 5. </w:t>
            </w:r>
          </w:p>
          <w:p w:rsidR="00BE5139" w:rsidRPr="00846679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разъяснительной работы по вопросам проведения специальной оценки условий труда</w:t>
            </w:r>
            <w:r w:rsidR="008C6873">
              <w:rPr>
                <w:rFonts w:ascii="Times New Roman" w:hAnsi="Times New Roman" w:cs="Times New Roman"/>
                <w:sz w:val="18"/>
                <w:szCs w:val="18"/>
              </w:rPr>
              <w:t xml:space="preserve"> и управления профессиональными рисками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846679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с ГИТ,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, обучающими организациями, АНО «НОЦОТ», организациями, привлекаемыми в соответствии с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организаций, которые провели специальную оценку условий труда </w:t>
            </w:r>
          </w:p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по ее результатам улучшили условия труда работников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E756F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0E55DC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1.2.2.1.2.3. Основное мероприятие 6.</w:t>
            </w:r>
          </w:p>
          <w:p w:rsidR="00BE5139" w:rsidRPr="00846679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</w:p>
          <w:p w:rsidR="00BE5139" w:rsidRPr="00846679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снижению профессиональных рисков, производственного травматизма и профессиональной заболеваемости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088" w:type="dxa"/>
            <w:gridSpan w:val="34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EB66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846679" w:rsidRDefault="00BE5139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с ФБУН «НИИ гигиены», ФГБОУ ВО НГМУ Минздрава России, Управлением </w:t>
            </w:r>
            <w:proofErr w:type="spell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надзора </w:t>
            </w:r>
          </w:p>
          <w:p w:rsidR="00BE5139" w:rsidRPr="00846679" w:rsidRDefault="00BE5139" w:rsidP="00BD06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НСО, организациями, привлекаемыми в соответствии с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Планируется проведение углубленных медицинских осмотров </w:t>
            </w:r>
          </w:p>
          <w:p w:rsidR="00BE5139" w:rsidRPr="00846679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целью выявления ранних стадий отклонений состояния здоровья </w:t>
            </w:r>
          </w:p>
          <w:p w:rsidR="00BE5139" w:rsidRPr="00846679" w:rsidRDefault="00BE5139" w:rsidP="00112F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предупреждения формирования профессиональных заболеваний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1.2.2.1.3. Задача 3. Информационное обеспечение вопросов охраны труда, совершенствование системы обучения по охране труда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0E55DC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1.2.2.1.3.1. Основное мероприятие 7. </w:t>
            </w:r>
          </w:p>
          <w:p w:rsidR="00BE5139" w:rsidRPr="00846679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работы по вопросам охраны труда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2A19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</w:tcPr>
          <w:p w:rsidR="00BE5139" w:rsidRPr="00996A9E" w:rsidRDefault="00E81E4F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A9E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6"/>
          </w:tcPr>
          <w:p w:rsidR="00BE5139" w:rsidRPr="00846679" w:rsidRDefault="00F326C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C96E1D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090F03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F0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090F03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F0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A70FA0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Минтруда </w:t>
            </w:r>
          </w:p>
          <w:p w:rsidR="00BE5139" w:rsidRPr="00A70FA0" w:rsidRDefault="00BE5139" w:rsidP="000E0C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с </w:t>
            </w:r>
            <w:proofErr w:type="spell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Минцифрой</w:t>
            </w:r>
            <w:proofErr w:type="spellEnd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НСО, ГИТ, </w:t>
            </w:r>
          </w:p>
          <w:p w:rsidR="00BE5139" w:rsidRPr="00A70FA0" w:rsidRDefault="00BE5139" w:rsidP="00A70F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ГУ НРО ФСС РФ, ФП, Управлением </w:t>
            </w:r>
            <w:proofErr w:type="spell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Роспотреб</w:t>
            </w:r>
            <w:proofErr w:type="spellEnd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-надзора по НСО, МСЭ, </w:t>
            </w:r>
            <w:proofErr w:type="spell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СРПиР</w:t>
            </w:r>
            <w:proofErr w:type="spellEnd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администра-циями</w:t>
            </w:r>
            <w:proofErr w:type="spellEnd"/>
            <w:proofErr w:type="gramEnd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МРиГО</w:t>
            </w:r>
            <w:proofErr w:type="spellEnd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, обучающими организациями,</w:t>
            </w:r>
            <w:r w:rsidR="002A5F70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0FA0" w:rsidRPr="00A70FA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85A94" w:rsidRPr="00A70FA0">
              <w:rPr>
                <w:rFonts w:ascii="Times New Roman" w:hAnsi="Times New Roman" w:cs="Times New Roman"/>
                <w:sz w:val="18"/>
                <w:szCs w:val="18"/>
              </w:rPr>
              <w:t>узами</w:t>
            </w:r>
            <w:r w:rsidR="002A5F70" w:rsidRPr="00A70F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организациями, привлекаемыми в соответствии с </w:t>
            </w:r>
            <w:proofErr w:type="spellStart"/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A70FA0" w:rsidRDefault="00BE5139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В целях повышения уровня компетенции руководителей </w:t>
            </w:r>
          </w:p>
          <w:p w:rsidR="00BE5139" w:rsidRPr="00A70FA0" w:rsidRDefault="00BE5139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специалистов организаций по вопросам охраны труда, привлечения внимания </w:t>
            </w:r>
          </w:p>
          <w:p w:rsidR="00BE5139" w:rsidRPr="00A70FA0" w:rsidRDefault="00BE5139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и распространения передового опыта работы в области охраны труда будут проведены Дни охраны труда, Всероссийский конкурс «Российская организация высокой социальной эффективности», конкурс «Охрана труда глазами детей», </w:t>
            </w:r>
            <w:r w:rsidR="00041B24" w:rsidRPr="00A70FA0">
              <w:rPr>
                <w:rFonts w:ascii="Times New Roman" w:hAnsi="Times New Roman" w:cs="Times New Roman"/>
                <w:sz w:val="18"/>
                <w:szCs w:val="18"/>
              </w:rPr>
              <w:t>конкурс «Лучший специалист по охране труда»,</w:t>
            </w:r>
            <w:r w:rsidR="00402880"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ные конкурсы по охране труда</w:t>
            </w:r>
            <w:r w:rsidR="00402880" w:rsidRPr="00A70FA0">
              <w:rPr>
                <w:rFonts w:ascii="Times New Roman" w:hAnsi="Times New Roman" w:cs="Times New Roman"/>
                <w:sz w:val="18"/>
                <w:szCs w:val="18"/>
              </w:rPr>
              <w:t>, студенческая олимпиада «Безопасность жизнедеятельности и охрана труда»</w:t>
            </w: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. Через печатные </w:t>
            </w:r>
          </w:p>
          <w:p w:rsidR="00BE5139" w:rsidRPr="00A70FA0" w:rsidRDefault="00BE5139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 xml:space="preserve">и электронные ресурсы будет осуществлено информирование </w:t>
            </w:r>
          </w:p>
          <w:p w:rsidR="00BE5139" w:rsidRPr="00A70FA0" w:rsidRDefault="00BE5139" w:rsidP="00A46E5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70FA0">
              <w:rPr>
                <w:rFonts w:ascii="Times New Roman" w:hAnsi="Times New Roman" w:cs="Times New Roman"/>
                <w:sz w:val="18"/>
                <w:szCs w:val="18"/>
              </w:rPr>
              <w:t>и консультирование работодателей и работников по вопросам охраны труда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947C9A" w:rsidP="00947C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E5139" w:rsidRPr="008466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C96E1D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C96E1D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17EF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0B7058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1.2.2.1.3.2. Основное мероприятие 8. </w:t>
            </w:r>
          </w:p>
          <w:p w:rsidR="00BE5139" w:rsidRPr="00846679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проведения обучения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проверки знаний требований охраны труда руководителей и специалистов организаций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088" w:type="dxa"/>
            <w:gridSpan w:val="34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Финансирование для выполнения данного мероприятия не требуется, реализация осуществляется в рамках текущей деятельности исполнителей мероприятия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Минтруда</w:t>
            </w:r>
          </w:p>
          <w:p w:rsidR="00BE5139" w:rsidRPr="00846679" w:rsidRDefault="00BE5139" w:rsidP="000E55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соцразвития НСО во взаимодействии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ГИТ, ФП, обучающими организациями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целях повышения уровня знаний в области охраны труда </w:t>
            </w:r>
          </w:p>
          <w:p w:rsidR="00BE5139" w:rsidRPr="00846679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в 2019-2025 годах будет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проводиться обучение руководителей </w:t>
            </w:r>
          </w:p>
          <w:p w:rsidR="00BE5139" w:rsidRPr="00846679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специалистов. </w:t>
            </w:r>
          </w:p>
          <w:p w:rsidR="00BE5139" w:rsidRPr="00846679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Для субъектов малого </w:t>
            </w:r>
          </w:p>
          <w:p w:rsidR="00BE5139" w:rsidRPr="00846679" w:rsidRDefault="00BE5139" w:rsidP="001A1E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 ежегодно будут проводиться семинары по вопросам охраны труда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1F2D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7" w:type="dxa"/>
            <w:gridSpan w:val="5"/>
          </w:tcPr>
          <w:p w:rsidR="00BE5139" w:rsidRPr="00996A9E" w:rsidRDefault="00E81E4F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A9E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6"/>
          </w:tcPr>
          <w:p w:rsidR="00BE5139" w:rsidRPr="00846679" w:rsidRDefault="00F326C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F326C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090F03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F0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090F03" w:rsidRDefault="00B4082F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F0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05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1B68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1007" w:type="dxa"/>
            <w:gridSpan w:val="5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332560,0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5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 Задача 3.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0E55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 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 Цель. Расширение возможностей трудоустройства инвалидов, в том числе инвалидов молодого возраста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0B705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1.3.3.1.1. Задача 1. 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1.3.3.1.1.1. Основное мероприятие 1. </w:t>
            </w:r>
          </w:p>
          <w:p w:rsidR="00C97056" w:rsidRPr="00846679" w:rsidRDefault="00C97056" w:rsidP="00C9705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Повышение уровня компетенции (осведомленности) инвалидов, в том числе инвалидов молодого возраста, а 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3575,0</w:t>
            </w:r>
          </w:p>
        </w:tc>
        <w:tc>
          <w:tcPr>
            <w:tcW w:w="962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2650,0</w:t>
            </w:r>
          </w:p>
        </w:tc>
        <w:tc>
          <w:tcPr>
            <w:tcW w:w="993" w:type="dxa"/>
            <w:gridSpan w:val="4"/>
          </w:tcPr>
          <w:p w:rsid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387,3</w:t>
            </w:r>
          </w:p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НСО, учреждения занятости населения, ГАУ НСО «ЦРПК»,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Минобразо-вания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r w:rsidRPr="00846679">
              <w:rPr>
                <w:sz w:val="18"/>
                <w:szCs w:val="18"/>
              </w:rPr>
              <w:t xml:space="preserve"> организациями Новосибирской области, РУМЦ НГТУ, общественными организациями инвалидов Новосибирской области, организациями, привлекаемыми </w:t>
            </w:r>
            <w:r w:rsidRPr="00846679">
              <w:rPr>
                <w:sz w:val="18"/>
                <w:szCs w:val="18"/>
              </w:rPr>
              <w:lastRenderedPageBreak/>
              <w:t xml:space="preserve">в соответствии с </w:t>
            </w:r>
            <w:proofErr w:type="spellStart"/>
            <w:r w:rsidRPr="00846679">
              <w:rPr>
                <w:sz w:val="18"/>
                <w:szCs w:val="18"/>
              </w:rPr>
              <w:t>законода-тельством</w:t>
            </w:r>
            <w:proofErr w:type="spellEnd"/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846679" w:rsidRDefault="00C97056" w:rsidP="00C9705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Повышение уровня информированности инвалидов, в том числе инвалидов молодого возраста, </w:t>
            </w:r>
          </w:p>
          <w:p w:rsidR="00C97056" w:rsidRPr="00846679" w:rsidRDefault="00C97056" w:rsidP="00C9705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о возможностях трудоустройства, прохождения профессионального обучения и получения дополнительного профессионального образования. Повышение квалификации сотрудников учреждений занятости населения по вопросам предоставления государственных услуг инвалидам.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граждан, относящихся к категории инвалидов, предоставленными государственными услугами </w:t>
            </w:r>
            <w:r w:rsidRPr="00846679">
              <w:rPr>
                <w:rFonts w:ascii="Times New Roman" w:hAnsi="Times New Roman" w:cs="Times New Roman"/>
                <w:bCs/>
                <w:sz w:val="18"/>
                <w:szCs w:val="18"/>
              </w:rPr>
              <w:t>в области содействия занятости населения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 к концу реализации подпрограммы составит не менее 92,0%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2626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1.3.3.1.2. Задача 2. Повышение конкурентоспособности инвалидов, в том числе инвалидов молодого возраста, на региональном рынке труда</w:t>
            </w:r>
          </w:p>
        </w:tc>
      </w:tr>
      <w:tr w:rsidR="00C96E1D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1.3.3.1.2.1. Основное мероприятие 2.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у инвалидов, в том числе инвалидов молодого возраста, социальных навыков, способствующих их скорейшему трудоустройству 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C96E1D" w:rsidRPr="00846679" w:rsidRDefault="00C96E1D" w:rsidP="00C96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4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10418,2</w:t>
            </w:r>
          </w:p>
        </w:tc>
        <w:tc>
          <w:tcPr>
            <w:tcW w:w="962" w:type="dxa"/>
            <w:gridSpan w:val="6"/>
          </w:tcPr>
          <w:p w:rsidR="00C96E1D" w:rsidRPr="00846679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9342,6</w:t>
            </w:r>
          </w:p>
        </w:tc>
        <w:tc>
          <w:tcPr>
            <w:tcW w:w="993" w:type="dxa"/>
            <w:gridSpan w:val="4"/>
          </w:tcPr>
          <w:p w:rsidR="00C96E1D" w:rsidRPr="00996A9E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A9E">
              <w:rPr>
                <w:rFonts w:ascii="Times New Roman" w:hAnsi="Times New Roman" w:cs="Times New Roman"/>
                <w:sz w:val="18"/>
                <w:szCs w:val="18"/>
              </w:rPr>
              <w:t>5320,3</w:t>
            </w:r>
          </w:p>
        </w:tc>
        <w:tc>
          <w:tcPr>
            <w:tcW w:w="992" w:type="dxa"/>
            <w:gridSpan w:val="6"/>
          </w:tcPr>
          <w:p w:rsidR="00C96E1D" w:rsidRPr="00C97056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6759,0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96E1D" w:rsidRPr="00C97056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7617,0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6E1D" w:rsidRPr="00C97056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7617,0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6E1D" w:rsidRPr="00C97056" w:rsidRDefault="00C96E1D" w:rsidP="00C96E1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7617,0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6E1D" w:rsidRPr="00846679" w:rsidRDefault="00C96E1D" w:rsidP="00C96E1D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Минтруда </w:t>
            </w:r>
          </w:p>
          <w:p w:rsidR="00C96E1D" w:rsidRPr="00846679" w:rsidRDefault="00C96E1D" w:rsidP="00C96E1D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НСО, учреждения занятости населения, ГАУ НСО «ЦРПК» во взаимодействии с </w:t>
            </w:r>
            <w:proofErr w:type="gramStart"/>
            <w:r w:rsidRPr="00846679">
              <w:rPr>
                <w:sz w:val="18"/>
                <w:szCs w:val="18"/>
              </w:rPr>
              <w:t>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организациями Новосибирской области, </w:t>
            </w:r>
          </w:p>
          <w:p w:rsidR="00C96E1D" w:rsidRPr="00846679" w:rsidRDefault="00C96E1D" w:rsidP="00C96E1D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РУМЦ НГТУ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96E1D" w:rsidRPr="00846679" w:rsidRDefault="00C96E1D" w:rsidP="00C96E1D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В 2019-2025 годах ежегодно не менее 60 инвалидов, в том числе инвалидов молодого возраста, пройдут профессиональное обучение или получат дополнительное профессиональное образование; будет проведено не менее 32 специализированных мероприятий </w:t>
            </w:r>
          </w:p>
          <w:p w:rsidR="00C96E1D" w:rsidRPr="00846679" w:rsidRDefault="00C96E1D" w:rsidP="00C96E1D">
            <w:pPr>
              <w:tabs>
                <w:tab w:val="left" w:pos="975"/>
              </w:tabs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по трудоустройству инвалидов молодого возраста. 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инвалидов, в том числе инвалидов молодого возраста, прошедших профессиональное обучение 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или получивших дополнительное профессиональное образование 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</w:t>
            </w: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образование </w:t>
            </w:r>
          </w:p>
          <w:p w:rsidR="00C96E1D" w:rsidRPr="00846679" w:rsidRDefault="00C96E1D" w:rsidP="00C96E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направлению учреждений занятости населения, к концу реализации подпрограммы составит не менее 65,0%.</w:t>
            </w:r>
          </w:p>
          <w:p w:rsidR="00C96E1D" w:rsidRPr="00846679" w:rsidRDefault="00C96E1D" w:rsidP="00C96E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к концу реализации подпрограммы составит не менее 80,0% 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D76F7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3D24E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5841" w:type="dxa"/>
            <w:gridSpan w:val="39"/>
          </w:tcPr>
          <w:p w:rsidR="00BE5139" w:rsidRPr="00846679" w:rsidRDefault="00BE5139" w:rsidP="008F1A3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 Задача 3. 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1.3.3.1.3.1.Основное мероприятие 3.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работодателями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вопросам трудоустройства инвалидов, в том числе инвалидов молодого возраста</w:t>
            </w:r>
          </w:p>
        </w:tc>
        <w:tc>
          <w:tcPr>
            <w:tcW w:w="1427" w:type="dxa"/>
            <w:gridSpan w:val="2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30053,0</w:t>
            </w:r>
          </w:p>
        </w:tc>
        <w:tc>
          <w:tcPr>
            <w:tcW w:w="962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30242,0</w:t>
            </w:r>
          </w:p>
        </w:tc>
        <w:tc>
          <w:tcPr>
            <w:tcW w:w="993" w:type="dxa"/>
            <w:gridSpan w:val="4"/>
          </w:tcPr>
          <w:p w:rsidR="00C97056" w:rsidRPr="00996A9E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A9E">
              <w:rPr>
                <w:rFonts w:ascii="Times New Roman" w:hAnsi="Times New Roman" w:cs="Times New Roman"/>
                <w:sz w:val="18"/>
                <w:szCs w:val="18"/>
              </w:rPr>
              <w:t>14675,0</w:t>
            </w:r>
          </w:p>
        </w:tc>
        <w:tc>
          <w:tcPr>
            <w:tcW w:w="992" w:type="dxa"/>
            <w:gridSpan w:val="6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24475,1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23937,6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24519,8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24519,8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Минтруда</w:t>
            </w:r>
          </w:p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НСО, учреждения занятости населения,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Минобразова-ния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МСЭ, РУМЦ НГТУ,</w:t>
            </w:r>
          </w:p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общественными организациями инвалидов Новосибирской области, организациями, привлекаемыми в соответствии с </w:t>
            </w:r>
            <w:proofErr w:type="spellStart"/>
            <w:proofErr w:type="gramStart"/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В 2019-2025 годах ежегодно не менее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  <w:r w:rsidRPr="004A177F">
              <w:rPr>
                <w:sz w:val="18"/>
                <w:szCs w:val="18"/>
              </w:rPr>
              <w:t xml:space="preserve"> тыс. инвалидам,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в том числе инвалидам молодого возраста, будет оказано содействие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в трудоустройстве, ежегодно не менее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1,5 тыс. инвалидов,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в том числе инвалидов молодого возраста, будут трудоустроены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 xml:space="preserve">на рабочие места в пределах установленной квоты для приема </w:t>
            </w:r>
          </w:p>
          <w:p w:rsidR="00C97056" w:rsidRPr="004A177F" w:rsidRDefault="00C97056" w:rsidP="00C97056">
            <w:pPr>
              <w:rPr>
                <w:sz w:val="18"/>
                <w:szCs w:val="18"/>
              </w:rPr>
            </w:pPr>
            <w:r w:rsidRPr="004A177F">
              <w:rPr>
                <w:sz w:val="18"/>
                <w:szCs w:val="18"/>
              </w:rPr>
              <w:t>на работу инвалидов.</w:t>
            </w:r>
          </w:p>
          <w:p w:rsidR="00C97056" w:rsidRPr="004A177F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 xml:space="preserve">За период 2019-2025 годов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312 </w:t>
            </w: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 xml:space="preserve">инвалидам, в том числе инвалидам молодого возраста, будут оказаны услуги сопровождения при трудоустройстве. </w:t>
            </w:r>
          </w:p>
          <w:p w:rsidR="00C97056" w:rsidRPr="004A177F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 xml:space="preserve">Доля трудоустроенных граждан, относящихся </w:t>
            </w:r>
            <w:r w:rsidRPr="004A1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 категории инвалидов, в общей численности инвалидов, обратившихся </w:t>
            </w:r>
          </w:p>
          <w:p w:rsidR="00C97056" w:rsidRPr="004A177F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>в учреждения занятости населения, к концу реализации подпрограммы составит не менее 70,0%.</w:t>
            </w:r>
          </w:p>
          <w:p w:rsidR="00C97056" w:rsidRPr="004A177F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сохраненных рабочих мест для инвалидов, в том числе для инвалидов молодого возраста, на которые были направлены меры финансовой поддержки, в 2019-2024 </w:t>
            </w:r>
            <w:proofErr w:type="gramStart"/>
            <w:r w:rsidRPr="004A177F">
              <w:rPr>
                <w:rFonts w:ascii="Times New Roman" w:hAnsi="Times New Roman" w:cs="Times New Roman"/>
                <w:sz w:val="18"/>
                <w:szCs w:val="18"/>
              </w:rPr>
              <w:t>годах  составит</w:t>
            </w:r>
            <w:proofErr w:type="gramEnd"/>
          </w:p>
          <w:p w:rsidR="00C97056" w:rsidRPr="004A177F" w:rsidRDefault="00C97056" w:rsidP="00C97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77F">
              <w:rPr>
                <w:rFonts w:ascii="Times New Roman" w:hAnsi="Times New Roman" w:cs="Times New Roman"/>
                <w:sz w:val="18"/>
                <w:szCs w:val="18"/>
              </w:rPr>
              <w:t xml:space="preserve">не менее 492 единиц, в 2025 году реализация мероприятия будет осуществляться при наличии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финансовой поддержки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E5139" w:rsidRPr="00AC6917" w:rsidRDefault="00BE5139" w:rsidP="00AC6917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023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DC39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BE5139" w:rsidRPr="00846679" w:rsidRDefault="00BE5139" w:rsidP="00AB3DD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1.3.3.1.3.2. Основное мероприятие 4.</w:t>
            </w:r>
          </w:p>
          <w:p w:rsidR="00BE5139" w:rsidRPr="00846679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взаимодействия </w:t>
            </w:r>
          </w:p>
          <w:p w:rsidR="00BE5139" w:rsidRPr="00846679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с образовательными организациями Новосибирской области по вопросам содействия занятости выпускников </w:t>
            </w:r>
          </w:p>
          <w:p w:rsidR="00BE5139" w:rsidRPr="00846679" w:rsidRDefault="00BE5139" w:rsidP="00AB3D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из числа инвалидов молодого возраста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AC6917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B13F5" w:rsidRDefault="00BE5139" w:rsidP="008B13F5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136</w:t>
            </w:r>
            <w:r w:rsidR="008B13F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A47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A47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A47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A4752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E5139" w:rsidRPr="00846679" w:rsidRDefault="00BE5139" w:rsidP="007504F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Минтруда</w:t>
            </w:r>
          </w:p>
          <w:p w:rsidR="00BE5139" w:rsidRPr="00846679" w:rsidRDefault="00BE5139" w:rsidP="007504FE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 xml:space="preserve">и соцразвития НСО, учреждения занятости населения, </w:t>
            </w:r>
            <w:proofErr w:type="spellStart"/>
            <w:proofErr w:type="gramStart"/>
            <w:r w:rsidRPr="00846679">
              <w:rPr>
                <w:sz w:val="18"/>
                <w:szCs w:val="18"/>
              </w:rPr>
              <w:t>Минобразова-ния</w:t>
            </w:r>
            <w:proofErr w:type="spellEnd"/>
            <w:proofErr w:type="gramEnd"/>
            <w:r w:rsidRPr="00846679">
              <w:rPr>
                <w:sz w:val="18"/>
                <w:szCs w:val="18"/>
              </w:rPr>
              <w:t xml:space="preserve"> НСО во взаимодействии с образователь-</w:t>
            </w:r>
            <w:proofErr w:type="spellStart"/>
            <w:r w:rsidRPr="00846679">
              <w:rPr>
                <w:sz w:val="18"/>
                <w:szCs w:val="18"/>
              </w:rPr>
              <w:t>ными</w:t>
            </w:r>
            <w:proofErr w:type="spellEnd"/>
            <w:r w:rsidRPr="00846679">
              <w:rPr>
                <w:sz w:val="18"/>
                <w:szCs w:val="18"/>
              </w:rPr>
              <w:t xml:space="preserve"> организациями Новосибирской области, в том числе </w:t>
            </w:r>
            <w:r w:rsidRPr="00846679">
              <w:rPr>
                <w:rFonts w:eastAsia="Calibri"/>
                <w:sz w:val="18"/>
                <w:szCs w:val="18"/>
              </w:rPr>
              <w:t>ГАУ ДПО НСО «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Новосибир-ский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центр развития 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професси-онального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образования», </w:t>
            </w:r>
            <w:r w:rsidRPr="00846679">
              <w:rPr>
                <w:rFonts w:eastAsia="Calibri"/>
                <w:sz w:val="18"/>
                <w:szCs w:val="18"/>
              </w:rPr>
              <w:lastRenderedPageBreak/>
              <w:t>ГБПОУ НСО «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Новосибир-ский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профес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846679">
              <w:rPr>
                <w:rFonts w:eastAsia="Calibri"/>
                <w:sz w:val="18"/>
                <w:szCs w:val="18"/>
              </w:rPr>
              <w:t>сионально</w:t>
            </w:r>
            <w:proofErr w:type="spellEnd"/>
            <w:r w:rsidRPr="00846679">
              <w:rPr>
                <w:rFonts w:eastAsia="Calibri"/>
                <w:sz w:val="18"/>
                <w:szCs w:val="18"/>
              </w:rPr>
              <w:t>-педагогический колледж»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BE5139" w:rsidRPr="00846679" w:rsidRDefault="00BE5139" w:rsidP="00BA12A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lastRenderedPageBreak/>
              <w:t xml:space="preserve">Расширение возможностей трудоустройства инвалидов – выпускников образовательных организаций Новосибирской области, сокращение периода поиска подходящей работы после выпуска </w:t>
            </w:r>
          </w:p>
          <w:p w:rsidR="00BE5139" w:rsidRPr="00846679" w:rsidRDefault="00BE5139" w:rsidP="00BA12A6">
            <w:pPr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из образовательных организаций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подпрограмме 3 государственной программы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C97056" w:rsidRPr="00AC6917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44046,2</w:t>
            </w:r>
          </w:p>
        </w:tc>
        <w:tc>
          <w:tcPr>
            <w:tcW w:w="962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42234,6</w:t>
            </w:r>
          </w:p>
        </w:tc>
        <w:tc>
          <w:tcPr>
            <w:tcW w:w="993" w:type="dxa"/>
            <w:gridSpan w:val="4"/>
          </w:tcPr>
          <w:p w:rsidR="00C97056" w:rsidRPr="00F70F77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20382,6</w:t>
            </w:r>
          </w:p>
        </w:tc>
        <w:tc>
          <w:tcPr>
            <w:tcW w:w="992" w:type="dxa"/>
            <w:gridSpan w:val="6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31309,1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31629,6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32211,8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32211,8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B42B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по государственной программе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C97056" w:rsidRPr="00AC6917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548538,8</w:t>
            </w:r>
          </w:p>
        </w:tc>
        <w:tc>
          <w:tcPr>
            <w:tcW w:w="962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577161,6</w:t>
            </w:r>
          </w:p>
        </w:tc>
        <w:tc>
          <w:tcPr>
            <w:tcW w:w="993" w:type="dxa"/>
            <w:gridSpan w:val="4"/>
          </w:tcPr>
          <w:p w:rsidR="00C97056" w:rsidRPr="00F70F77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540532,9</w:t>
            </w:r>
          </w:p>
        </w:tc>
        <w:tc>
          <w:tcPr>
            <w:tcW w:w="992" w:type="dxa"/>
            <w:gridSpan w:val="6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617778,3</w:t>
            </w:r>
            <w:bookmarkStart w:id="0" w:name="_GoBack"/>
            <w:bookmarkEnd w:id="0"/>
          </w:p>
        </w:tc>
        <w:tc>
          <w:tcPr>
            <w:tcW w:w="1009" w:type="dxa"/>
            <w:gridSpan w:val="4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701691,7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720813,5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742235,8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7056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97056" w:rsidRPr="00846679" w:rsidRDefault="00C97056" w:rsidP="00C97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1055946,0</w:t>
            </w:r>
          </w:p>
        </w:tc>
        <w:tc>
          <w:tcPr>
            <w:tcW w:w="962" w:type="dxa"/>
            <w:gridSpan w:val="6"/>
          </w:tcPr>
          <w:p w:rsidR="00C97056" w:rsidRPr="00846679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3990777,0</w:t>
            </w:r>
          </w:p>
        </w:tc>
        <w:tc>
          <w:tcPr>
            <w:tcW w:w="993" w:type="dxa"/>
            <w:gridSpan w:val="4"/>
          </w:tcPr>
          <w:p w:rsidR="00C97056" w:rsidRPr="00F70F77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2194367,6</w:t>
            </w:r>
          </w:p>
        </w:tc>
        <w:tc>
          <w:tcPr>
            <w:tcW w:w="992" w:type="dxa"/>
            <w:gridSpan w:val="6"/>
          </w:tcPr>
          <w:p w:rsidR="00C97056" w:rsidRPr="00C97056" w:rsidRDefault="00C97056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56">
              <w:rPr>
                <w:rFonts w:ascii="Times New Roman" w:hAnsi="Times New Roman" w:cs="Times New Roman"/>
                <w:sz w:val="18"/>
                <w:szCs w:val="18"/>
              </w:rPr>
              <w:t>1295905,5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2512338,7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2548025,9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C97056" w:rsidRPr="00C97056" w:rsidRDefault="00C96E1D" w:rsidP="00C970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2575907,8</w:t>
            </w:r>
          </w:p>
        </w:tc>
        <w:tc>
          <w:tcPr>
            <w:tcW w:w="1407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C97056" w:rsidRPr="00846679" w:rsidRDefault="00C97056" w:rsidP="00C9705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846679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85556F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7700,0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1670,0</w:t>
            </w:r>
          </w:p>
        </w:tc>
        <w:tc>
          <w:tcPr>
            <w:tcW w:w="992" w:type="dxa"/>
            <w:gridSpan w:val="6"/>
          </w:tcPr>
          <w:p w:rsidR="00BE5139" w:rsidRPr="00F70F77" w:rsidRDefault="00B342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342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342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34252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9D0954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846679" w:rsidRDefault="00BE5139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846679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BE5139" w:rsidRPr="00846679" w:rsidRDefault="00BE5139" w:rsidP="0059226A">
            <w:pPr>
              <w:jc w:val="center"/>
              <w:rPr>
                <w:sz w:val="18"/>
                <w:szCs w:val="18"/>
              </w:rPr>
            </w:pPr>
            <w:r w:rsidRPr="00846679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gridSpan w:val="4"/>
          </w:tcPr>
          <w:p w:rsidR="00BE5139" w:rsidRPr="00846679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301560,0</w:t>
            </w:r>
          </w:p>
        </w:tc>
        <w:tc>
          <w:tcPr>
            <w:tcW w:w="962" w:type="dxa"/>
            <w:gridSpan w:val="6"/>
          </w:tcPr>
          <w:p w:rsidR="00BE5139" w:rsidRPr="00846679" w:rsidRDefault="00BE5139" w:rsidP="00FC7E1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679">
              <w:rPr>
                <w:rFonts w:ascii="Times New Roman" w:hAnsi="Times New Roman" w:cs="Times New Roman"/>
                <w:sz w:val="18"/>
                <w:szCs w:val="18"/>
              </w:rPr>
              <w:t>318015,5</w:t>
            </w:r>
          </w:p>
        </w:tc>
        <w:tc>
          <w:tcPr>
            <w:tcW w:w="993" w:type="dxa"/>
            <w:gridSpan w:val="4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316510,0</w:t>
            </w:r>
          </w:p>
        </w:tc>
        <w:tc>
          <w:tcPr>
            <w:tcW w:w="992" w:type="dxa"/>
            <w:gridSpan w:val="6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332560,0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F70F77" w:rsidRDefault="00BE5139" w:rsidP="008718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F77">
              <w:rPr>
                <w:rFonts w:ascii="Times New Roman" w:hAnsi="Times New Roman" w:cs="Times New Roman"/>
                <w:sz w:val="18"/>
                <w:szCs w:val="18"/>
              </w:rPr>
              <w:t>345860,0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9D0954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9D0954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139" w:rsidRPr="009D0954" w:rsidTr="004F456E">
        <w:trPr>
          <w:trHeight w:val="20"/>
          <w:tblCellSpacing w:w="5" w:type="nil"/>
        </w:trPr>
        <w:tc>
          <w:tcPr>
            <w:tcW w:w="1836" w:type="dxa"/>
            <w:vMerge/>
            <w:shd w:val="clear" w:color="auto" w:fill="auto"/>
          </w:tcPr>
          <w:p w:rsidR="00BE5139" w:rsidRPr="009D0954" w:rsidRDefault="00BE5139" w:rsidP="0085556F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BE5139" w:rsidRPr="009D0954" w:rsidRDefault="00BE5139" w:rsidP="005922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9" w:type="dxa"/>
            <w:shd w:val="clear" w:color="auto" w:fill="auto"/>
          </w:tcPr>
          <w:p w:rsidR="00BE5139" w:rsidRPr="009D0954" w:rsidRDefault="00BE5139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BE5139" w:rsidRPr="009D0954" w:rsidRDefault="00BE5139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422" w:type="dxa"/>
            <w:gridSpan w:val="2"/>
            <w:shd w:val="clear" w:color="auto" w:fill="auto"/>
          </w:tcPr>
          <w:p w:rsidR="00BE5139" w:rsidRPr="009D0954" w:rsidRDefault="00BE5139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BE5139" w:rsidRPr="009D0954" w:rsidRDefault="00BE5139" w:rsidP="0059226A">
            <w:pPr>
              <w:jc w:val="center"/>
              <w:rPr>
                <w:sz w:val="18"/>
                <w:szCs w:val="18"/>
              </w:rPr>
            </w:pPr>
            <w:r w:rsidRPr="009D095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2" w:type="dxa"/>
            <w:gridSpan w:val="6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4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BE5139" w:rsidRPr="009D0954" w:rsidRDefault="00BE5139" w:rsidP="005922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9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shd w:val="clear" w:color="auto" w:fill="auto"/>
          </w:tcPr>
          <w:p w:rsidR="00BE5139" w:rsidRPr="009D0954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BE5139" w:rsidRPr="009D0954" w:rsidRDefault="00BE5139" w:rsidP="008555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6917" w:rsidRPr="00AC6917" w:rsidRDefault="00AC6917" w:rsidP="00AC6917">
      <w:pPr>
        <w:spacing w:before="120"/>
        <w:ind w:firstLine="709"/>
        <w:jc w:val="both"/>
      </w:pPr>
      <w:bookmarkStart w:id="1" w:name="P1090"/>
      <w:bookmarkEnd w:id="1"/>
      <w:r w:rsidRPr="00AC6917">
        <w:rPr>
          <w:vertAlign w:val="superscript"/>
        </w:rPr>
        <w:t>1-</w:t>
      </w:r>
      <w:r w:rsidRPr="00AC6917">
        <w:t xml:space="preserve"> объем финансирования на реализацию государственной программы на </w:t>
      </w:r>
      <w:r w:rsidR="005E5712">
        <w:t>2</w:t>
      </w:r>
      <w:r w:rsidRPr="00AC6917">
        <w:t>025 год носит прогнозный характер;</w:t>
      </w:r>
    </w:p>
    <w:p w:rsidR="00AC6917" w:rsidRPr="00AC6917" w:rsidRDefault="00AC6917" w:rsidP="00AC6917">
      <w:pPr>
        <w:ind w:firstLine="709"/>
        <w:jc w:val="both"/>
        <w:rPr>
          <w:b/>
        </w:rPr>
      </w:pPr>
      <w:r w:rsidRPr="00AC6917">
        <w:rPr>
          <w:vertAlign w:val="superscript"/>
        </w:rPr>
        <w:t>2-</w:t>
      </w:r>
      <w:r w:rsidRPr="00AC6917">
        <w:t xml:space="preserve">объемы финансирования указаны </w:t>
      </w:r>
      <w:proofErr w:type="spellStart"/>
      <w:r w:rsidRPr="00AC6917">
        <w:t>справочно</w:t>
      </w:r>
      <w:proofErr w:type="spellEnd"/>
      <w:r w:rsidRPr="00AC6917">
        <w:t xml:space="preserve">. Финансовые средства предусмотрены в </w:t>
      </w:r>
      <w:r w:rsidRPr="00AC6917">
        <w:rPr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 «</w:t>
      </w:r>
      <w:r w:rsidRPr="00AC6917">
        <w:rPr>
          <w:spacing w:val="2"/>
        </w:rPr>
        <w:t xml:space="preserve">Об утверждении государственной программы Новосибирской области </w:t>
      </w:r>
      <w:r w:rsidRPr="00AC6917">
        <w:rPr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области»;</w:t>
      </w:r>
    </w:p>
    <w:p w:rsidR="00AC6917" w:rsidRPr="00AC6917" w:rsidRDefault="00AC6917" w:rsidP="00AC6917">
      <w:pPr>
        <w:ind w:firstLine="709"/>
        <w:jc w:val="both"/>
        <w:rPr>
          <w:spacing w:val="2"/>
        </w:rPr>
      </w:pPr>
      <w:r w:rsidRPr="00AC6917">
        <w:rPr>
          <w:vertAlign w:val="superscript"/>
        </w:rPr>
        <w:t>3-</w:t>
      </w:r>
      <w:r w:rsidRPr="00AC6917">
        <w:t xml:space="preserve">объемы финансирования указаны </w:t>
      </w:r>
      <w:proofErr w:type="spellStart"/>
      <w:r w:rsidRPr="00AC6917">
        <w:t>справочно</w:t>
      </w:r>
      <w:proofErr w:type="spellEnd"/>
      <w:r w:rsidRPr="00AC6917">
        <w:t xml:space="preserve">. Финансовые средства предусмотрены в </w:t>
      </w:r>
      <w:r w:rsidRPr="00AC6917">
        <w:rPr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AC6917">
        <w:t xml:space="preserve"> Правительства </w:t>
      </w:r>
      <w:r w:rsidRPr="00AC6917">
        <w:rPr>
          <w:lang w:eastAsia="en-US"/>
        </w:rPr>
        <w:t>Новосибирской области от 06.09.2013 № 380-п «</w:t>
      </w:r>
      <w:r w:rsidRPr="00AC6917">
        <w:rPr>
          <w:spacing w:val="2"/>
        </w:rPr>
        <w:t>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области»;</w:t>
      </w:r>
    </w:p>
    <w:p w:rsidR="00AC6917" w:rsidRPr="00AC6917" w:rsidRDefault="00AC6917" w:rsidP="00AC6917">
      <w:pPr>
        <w:ind w:firstLine="709"/>
        <w:jc w:val="both"/>
      </w:pPr>
      <w:r w:rsidRPr="00AC6917">
        <w:rPr>
          <w:vertAlign w:val="superscript"/>
        </w:rPr>
        <w:t>4-</w:t>
      </w:r>
      <w:r w:rsidRPr="00AC6917"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Pr="00AC6917">
        <w:t>справочно</w:t>
      </w:r>
      <w:proofErr w:type="spellEnd"/>
      <w:r w:rsidRPr="00AC6917">
        <w:t>.</w:t>
      </w:r>
    </w:p>
    <w:p w:rsidR="00D76D55" w:rsidRPr="00AC6917" w:rsidRDefault="00D76D55" w:rsidP="00D76D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C6917">
        <w:rPr>
          <w:rFonts w:ascii="Times New Roman" w:hAnsi="Times New Roman" w:cs="Times New Roman"/>
          <w:sz w:val="24"/>
          <w:szCs w:val="24"/>
        </w:rPr>
        <w:t>МРиГО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– администрации муниципальных районов и городских округов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АНО «НОЦОТ» – автономная некоммерческая организация «Новосибирский областной центр охраны труда»;</w:t>
      </w:r>
    </w:p>
    <w:p w:rsidR="00BA12A6" w:rsidRPr="00AC6917" w:rsidRDefault="00BA12A6" w:rsidP="007E7E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АО «АИР НСО» – акционерное общество «Агентство инвестиционного развития Новосибирской области»;</w:t>
      </w:r>
    </w:p>
    <w:p w:rsidR="006A5368" w:rsidRPr="006A5368" w:rsidRDefault="006A5368" w:rsidP="006A5368">
      <w:pPr>
        <w:ind w:firstLine="709"/>
        <w:jc w:val="both"/>
        <w:rPr>
          <w:rFonts w:eastAsia="Calibri"/>
        </w:rPr>
      </w:pPr>
      <w:r w:rsidRPr="00A70FA0">
        <w:lastRenderedPageBreak/>
        <w:t>ВУЗ – образовательные организации высшего образования в Новосибирской области;</w:t>
      </w:r>
    </w:p>
    <w:p w:rsidR="00BA12A6" w:rsidRPr="00AC6917" w:rsidRDefault="00BA12A6" w:rsidP="00D76D55">
      <w:pPr>
        <w:ind w:firstLine="709"/>
        <w:jc w:val="both"/>
        <w:rPr>
          <w:rFonts w:eastAsia="Calibri"/>
        </w:rPr>
      </w:pPr>
      <w:r w:rsidRPr="00AC6917">
        <w:rPr>
          <w:rFonts w:eastAsia="Calibri"/>
        </w:rPr>
        <w:t xml:space="preserve">ГАУ ДПО НСО «Новосибирский центр развития профессионального образования» </w:t>
      </w:r>
      <w:r w:rsidRPr="00AC6917">
        <w:t>–</w:t>
      </w:r>
      <w:r w:rsidRPr="00AC6917">
        <w:rPr>
          <w:rFonts w:eastAsia="Calibri"/>
        </w:rPr>
        <w:t xml:space="preserve"> </w:t>
      </w:r>
      <w:r w:rsidRPr="00AC6917">
        <w:t xml:space="preserve">государственное автономное учреждение дополнительного профессионального образования Новосибирской области </w:t>
      </w:r>
      <w:r w:rsidRPr="00AC6917">
        <w:rPr>
          <w:rFonts w:eastAsia="Calibri"/>
        </w:rPr>
        <w:t>«Новосибирский центр развития профессионального образования»;</w:t>
      </w:r>
    </w:p>
    <w:p w:rsidR="00BA12A6" w:rsidRPr="00AC6917" w:rsidRDefault="00BA12A6" w:rsidP="00D76D55">
      <w:pPr>
        <w:ind w:firstLine="709"/>
        <w:jc w:val="both"/>
      </w:pPr>
      <w:r w:rsidRPr="00AC6917"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BA12A6" w:rsidRPr="00AC6917" w:rsidRDefault="00BA12A6" w:rsidP="00D76D55">
      <w:pPr>
        <w:ind w:firstLine="709"/>
        <w:jc w:val="both"/>
        <w:rPr>
          <w:rFonts w:eastAsia="Calibri"/>
        </w:rPr>
      </w:pPr>
      <w:proofErr w:type="gramStart"/>
      <w:r w:rsidRPr="00AC6917">
        <w:rPr>
          <w:rFonts w:eastAsia="Calibri"/>
        </w:rPr>
        <w:t>ГБПОУ</w:t>
      </w:r>
      <w:r w:rsidR="00690F51" w:rsidRPr="00AC6917">
        <w:rPr>
          <w:rFonts w:eastAsia="Calibri"/>
        </w:rPr>
        <w:t>  </w:t>
      </w:r>
      <w:r w:rsidRPr="00AC6917">
        <w:rPr>
          <w:rFonts w:eastAsia="Calibri"/>
        </w:rPr>
        <w:t>НСО</w:t>
      </w:r>
      <w:proofErr w:type="gramEnd"/>
      <w:r w:rsidR="00690F51" w:rsidRPr="00AC6917">
        <w:rPr>
          <w:rFonts w:eastAsia="Calibri"/>
        </w:rPr>
        <w:t>  </w:t>
      </w:r>
      <w:r w:rsidRPr="00AC6917">
        <w:rPr>
          <w:rFonts w:eastAsia="Calibri"/>
        </w:rPr>
        <w:t xml:space="preserve">«Новосибирский профессионально-педагогический колледж» </w:t>
      </w:r>
      <w:r w:rsidRPr="00AC6917">
        <w:t>–</w:t>
      </w:r>
      <w:r w:rsidRPr="00AC6917">
        <w:rPr>
          <w:rFonts w:eastAsia="Calibri"/>
        </w:rPr>
        <w:t xml:space="preserve">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ГИТ – Государственная инспекция труда в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ГУ НРО ФСС РФ – государственное учреждение – Новосибирское региональное отделение Фонда социального страхования Российской Федерации;</w:t>
      </w:r>
    </w:p>
    <w:p w:rsidR="00BA12A6" w:rsidRPr="00AC6917" w:rsidRDefault="002A5F70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A12A6" w:rsidRPr="00AC6917">
        <w:rPr>
          <w:rFonts w:ascii="Times New Roman" w:hAnsi="Times New Roman" w:cs="Times New Roman"/>
          <w:sz w:val="24"/>
          <w:szCs w:val="24"/>
        </w:rPr>
        <w:t xml:space="preserve">инистерство </w:t>
      </w:r>
      <w:proofErr w:type="spellStart"/>
      <w:r w:rsidR="00BA12A6" w:rsidRPr="00AC6917"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="00BA12A6" w:rsidRPr="00AC6917">
        <w:rPr>
          <w:rFonts w:ascii="Times New Roman" w:hAnsi="Times New Roman" w:cs="Times New Roman"/>
          <w:sz w:val="24"/>
          <w:szCs w:val="24"/>
        </w:rPr>
        <w:t xml:space="preserve"> НСО – министерство жилищно-коммунального хозяйства и энергетики Новосибирской области;</w:t>
      </w:r>
    </w:p>
    <w:p w:rsidR="00BA12A6" w:rsidRPr="00AC6917" w:rsidRDefault="00BA12A6" w:rsidP="00D76D55">
      <w:pPr>
        <w:ind w:firstLine="709"/>
        <w:jc w:val="both"/>
        <w:rPr>
          <w:color w:val="000000"/>
        </w:rPr>
      </w:pPr>
      <w:r w:rsidRPr="00AC6917">
        <w:t>Минобразования НСО – мини</w:t>
      </w:r>
      <w:r w:rsidRPr="00AC6917">
        <w:rPr>
          <w:color w:val="000000"/>
        </w:rPr>
        <w:t xml:space="preserve">стерство образования Новосибирской области; 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17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Минстрой НСО – министерство строительства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Минтруда и соцразвития НСО – министерство труда и социального развития Новосибирской области;</w:t>
      </w:r>
    </w:p>
    <w:p w:rsidR="00BA12A6" w:rsidRPr="00AC6917" w:rsidRDefault="007519DD" w:rsidP="00D22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Минцифра НСО – м</w:t>
      </w:r>
      <w:r w:rsidR="00BA12A6" w:rsidRPr="00AC6917">
        <w:rPr>
          <w:rFonts w:ascii="Times New Roman" w:hAnsi="Times New Roman" w:cs="Times New Roman"/>
          <w:sz w:val="24"/>
          <w:szCs w:val="24"/>
        </w:rPr>
        <w:t>инистерство цифрового развития и связи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 xml:space="preserve">МТУ по надзору за ЯРБ Сибири и Дальнего Востока </w:t>
      </w:r>
      <w:proofErr w:type="spellStart"/>
      <w:r w:rsidRPr="00AC691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– Межрегионально</w:t>
      </w:r>
      <w:r w:rsidR="00690F51" w:rsidRPr="00AC6917">
        <w:rPr>
          <w:rFonts w:ascii="Times New Roman" w:hAnsi="Times New Roman" w:cs="Times New Roman"/>
          <w:sz w:val="24"/>
          <w:szCs w:val="24"/>
        </w:rPr>
        <w:t>е территориальное управление по </w:t>
      </w:r>
      <w:r w:rsidRPr="00AC6917">
        <w:rPr>
          <w:rFonts w:ascii="Times New Roman" w:hAnsi="Times New Roman" w:cs="Times New Roman"/>
          <w:sz w:val="24"/>
          <w:szCs w:val="24"/>
        </w:rPr>
        <w:t>надзору за ядерной и радиационной безопасностью Сибири и Дальнего Востока Федеральной службы по экологическому, технологическому и атомному надзору;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17">
        <w:rPr>
          <w:rFonts w:ascii="Times New Roman" w:hAnsi="Times New Roman" w:cs="Times New Roman"/>
          <w:sz w:val="24"/>
          <w:szCs w:val="24"/>
        </w:rPr>
        <w:t>Новосибирскстат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BA12A6" w:rsidRPr="00AC6917" w:rsidRDefault="00BA12A6" w:rsidP="00D76D55">
      <w:pPr>
        <w:ind w:firstLine="709"/>
        <w:jc w:val="both"/>
        <w:rPr>
          <w:color w:val="000000"/>
        </w:rPr>
      </w:pPr>
      <w:r w:rsidRPr="00AC6917">
        <w:rPr>
          <w:color w:val="000000"/>
        </w:rPr>
        <w:t>образовательные организации Новосибирской области – образовательные организации высшего образования на территории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</w:t>
      </w:r>
      <w:r w:rsidR="00690F51" w:rsidRPr="00AC6917">
        <w:rPr>
          <w:color w:val="000000"/>
        </w:rPr>
        <w:t>,</w:t>
      </w:r>
      <w:r w:rsidRPr="00AC6917">
        <w:rPr>
          <w:color w:val="000000"/>
        </w:rPr>
        <w:t xml:space="preserve"> и муниципальные общеобразовательные организации;</w:t>
      </w:r>
    </w:p>
    <w:p w:rsidR="00BA12A6" w:rsidRPr="00AC6917" w:rsidRDefault="00690F51" w:rsidP="00BF0D5F">
      <w:pPr>
        <w:ind w:firstLine="709"/>
        <w:jc w:val="both"/>
      </w:pPr>
      <w:r w:rsidRPr="00AC6917">
        <w:t>о</w:t>
      </w:r>
      <w:r w:rsidR="00BA12A6" w:rsidRPr="00AC6917">
        <w:t>бучающие организации – организации, оказывающие услуги в области охраны тр</w:t>
      </w:r>
      <w:r w:rsidRPr="00AC6917">
        <w:t>уда по обучению работодателей и </w:t>
      </w:r>
      <w:r w:rsidR="00BA12A6" w:rsidRPr="00AC6917">
        <w:t>работников вопросам охраны труда;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организации – работодатели, осуществляющие деятельность на территории Новосибирской области;</w:t>
      </w:r>
    </w:p>
    <w:p w:rsidR="00D263A0" w:rsidRPr="00AC6917" w:rsidRDefault="00D263A0" w:rsidP="00691E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BA12A6" w:rsidRPr="00AC6917" w:rsidRDefault="00BA12A6" w:rsidP="0069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РЦК – Региональный центр компетенций (акционерное общество «Агентство инвестиционного развития Новосибирской области»)</w:t>
      </w:r>
      <w:r w:rsidR="007519DD" w:rsidRPr="00AC6917">
        <w:rPr>
          <w:rFonts w:ascii="Times New Roman" w:hAnsi="Times New Roman" w:cs="Times New Roman"/>
          <w:sz w:val="24"/>
          <w:szCs w:val="24"/>
        </w:rPr>
        <w:t>,</w:t>
      </w:r>
      <w:r w:rsidRPr="00AC6917">
        <w:rPr>
          <w:rFonts w:ascii="Times New Roman" w:hAnsi="Times New Roman" w:cs="Times New Roman"/>
          <w:sz w:val="24"/>
          <w:szCs w:val="24"/>
        </w:rPr>
        <w:t xml:space="preserve"> 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</w:t>
      </w:r>
      <w:r w:rsidR="00EF34FF" w:rsidRPr="00AC6917">
        <w:rPr>
          <w:rFonts w:ascii="Times New Roman" w:hAnsi="Times New Roman" w:cs="Times New Roman"/>
          <w:sz w:val="24"/>
          <w:szCs w:val="24"/>
        </w:rPr>
        <w:t>оекта «Производительность труда</w:t>
      </w:r>
      <w:r w:rsidRPr="00AC6917">
        <w:rPr>
          <w:rFonts w:ascii="Times New Roman" w:hAnsi="Times New Roman" w:cs="Times New Roman"/>
          <w:sz w:val="24"/>
          <w:szCs w:val="24"/>
        </w:rPr>
        <w:t>»;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917">
        <w:rPr>
          <w:rFonts w:ascii="Times New Roman" w:hAnsi="Times New Roman" w:cs="Times New Roman"/>
          <w:sz w:val="24"/>
          <w:szCs w:val="24"/>
        </w:rPr>
        <w:t>СРПиР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– Новосибирская областная общественная организация «Союз руководителей предприятий и работодателей»;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 xml:space="preserve">СУ </w:t>
      </w:r>
      <w:proofErr w:type="spellStart"/>
      <w:r w:rsidRPr="00AC691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– Сибирское управление Федеральной службы по экологическому, технологическому и атомному надзору;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AC691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C6917">
        <w:rPr>
          <w:rFonts w:ascii="Times New Roman" w:hAnsi="Times New Roman" w:cs="Times New Roman"/>
          <w:sz w:val="24"/>
          <w:szCs w:val="24"/>
        </w:rPr>
        <w:t xml:space="preserve"> по НСО – Управление Федеральной службы по надзору в с</w:t>
      </w:r>
      <w:r w:rsidR="00690F51" w:rsidRPr="00AC6917">
        <w:rPr>
          <w:rFonts w:ascii="Times New Roman" w:hAnsi="Times New Roman" w:cs="Times New Roman"/>
          <w:sz w:val="24"/>
          <w:szCs w:val="24"/>
        </w:rPr>
        <w:t>фере защиты прав потребителей и </w:t>
      </w:r>
      <w:r w:rsidRPr="00AC6917">
        <w:rPr>
          <w:rFonts w:ascii="Times New Roman" w:hAnsi="Times New Roman" w:cs="Times New Roman"/>
          <w:sz w:val="24"/>
          <w:szCs w:val="24"/>
        </w:rPr>
        <w:t xml:space="preserve">благополучия </w:t>
      </w:r>
      <w:r w:rsidRPr="00AC6917">
        <w:rPr>
          <w:rFonts w:ascii="Times New Roman" w:hAnsi="Times New Roman" w:cs="Times New Roman"/>
          <w:sz w:val="24"/>
          <w:szCs w:val="24"/>
        </w:rPr>
        <w:lastRenderedPageBreak/>
        <w:t>человека по Новосибирской области;</w:t>
      </w:r>
    </w:p>
    <w:p w:rsidR="00BA12A6" w:rsidRPr="00AC6917" w:rsidRDefault="00690F51" w:rsidP="00D76D55">
      <w:pPr>
        <w:ind w:firstLine="709"/>
        <w:jc w:val="both"/>
        <w:rPr>
          <w:color w:val="000000"/>
        </w:rPr>
      </w:pPr>
      <w:r w:rsidRPr="00AC6917">
        <w:rPr>
          <w:color w:val="000000"/>
        </w:rPr>
        <w:t>у</w:t>
      </w:r>
      <w:r w:rsidR="00BA12A6" w:rsidRPr="00AC6917">
        <w:rPr>
          <w:color w:val="000000"/>
        </w:rPr>
        <w:t>чреждения занятости населения – государственные казенные учреждения Новосибирской области центры занятости населения»;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Федерации;</w:t>
      </w:r>
    </w:p>
    <w:p w:rsidR="00BA12A6" w:rsidRPr="00AC6917" w:rsidRDefault="00BA12A6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917">
        <w:rPr>
          <w:rFonts w:ascii="Times New Roman" w:hAnsi="Times New Roman" w:cs="Times New Roman"/>
          <w:sz w:val="24"/>
          <w:szCs w:val="24"/>
        </w:rPr>
        <w:t>ФП – Новосибирский областной союз организаций профсоюзов «Федерация профсоюзов Новосибирской области»;</w:t>
      </w:r>
    </w:p>
    <w:p w:rsidR="00BA12A6" w:rsidRPr="00AC6917" w:rsidRDefault="00BA12A6" w:rsidP="00691EC7">
      <w:pPr>
        <w:ind w:firstLine="709"/>
        <w:jc w:val="both"/>
      </w:pPr>
      <w:r w:rsidRPr="00AC6917">
        <w:t>ФЦК – автономная некоммерческая организация «Федеральный центр компетенций в сфере производительности труда».</w:t>
      </w:r>
    </w:p>
    <w:p w:rsidR="007519DD" w:rsidRPr="00AC6917" w:rsidRDefault="007519DD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F51" w:rsidRPr="00AC6917" w:rsidRDefault="00690F51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F51" w:rsidRPr="00AC6917" w:rsidRDefault="00690F51" w:rsidP="00D76D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D55" w:rsidRPr="00AC6917" w:rsidRDefault="00D76D55" w:rsidP="00D76D55">
      <w:pPr>
        <w:jc w:val="center"/>
      </w:pPr>
      <w:r w:rsidRPr="00AC6917">
        <w:t>_________».</w:t>
      </w:r>
    </w:p>
    <w:sectPr w:rsidR="00D76D55" w:rsidRPr="00AC6917" w:rsidSect="00D67BD0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19" w:rsidRDefault="00011619" w:rsidP="007C551D">
      <w:r>
        <w:separator/>
      </w:r>
    </w:p>
  </w:endnote>
  <w:endnote w:type="continuationSeparator" w:id="0">
    <w:p w:rsidR="00011619" w:rsidRDefault="00011619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19" w:rsidRDefault="00011619" w:rsidP="007C551D">
      <w:r>
        <w:separator/>
      </w:r>
    </w:p>
  </w:footnote>
  <w:footnote w:type="continuationSeparator" w:id="0">
    <w:p w:rsidR="00011619" w:rsidRDefault="00011619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239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1619" w:rsidRPr="005053C3" w:rsidRDefault="00011619">
        <w:pPr>
          <w:pStyle w:val="a3"/>
          <w:jc w:val="center"/>
          <w:rPr>
            <w:sz w:val="20"/>
            <w:szCs w:val="20"/>
          </w:rPr>
        </w:pPr>
        <w:r w:rsidRPr="005053C3">
          <w:rPr>
            <w:sz w:val="20"/>
            <w:szCs w:val="20"/>
          </w:rPr>
          <w:fldChar w:fldCharType="begin"/>
        </w:r>
        <w:r w:rsidRPr="005053C3">
          <w:rPr>
            <w:sz w:val="20"/>
            <w:szCs w:val="20"/>
          </w:rPr>
          <w:instrText>PAGE   \* MERGEFORMAT</w:instrText>
        </w:r>
        <w:r w:rsidRPr="005053C3">
          <w:rPr>
            <w:sz w:val="20"/>
            <w:szCs w:val="20"/>
          </w:rPr>
          <w:fldChar w:fldCharType="separate"/>
        </w:r>
        <w:r w:rsidR="00C96E1D">
          <w:rPr>
            <w:noProof/>
            <w:sz w:val="20"/>
            <w:szCs w:val="20"/>
          </w:rPr>
          <w:t>17</w:t>
        </w:r>
        <w:r w:rsidRPr="005053C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F80"/>
    <w:rsid w:val="00001061"/>
    <w:rsid w:val="000076AE"/>
    <w:rsid w:val="00011619"/>
    <w:rsid w:val="00012E31"/>
    <w:rsid w:val="00017819"/>
    <w:rsid w:val="00017935"/>
    <w:rsid w:val="00021C0B"/>
    <w:rsid w:val="00023485"/>
    <w:rsid w:val="000243B0"/>
    <w:rsid w:val="00037B0C"/>
    <w:rsid w:val="00041B24"/>
    <w:rsid w:val="00041F8C"/>
    <w:rsid w:val="000530D8"/>
    <w:rsid w:val="00053702"/>
    <w:rsid w:val="000539D9"/>
    <w:rsid w:val="00053AA8"/>
    <w:rsid w:val="00054A8E"/>
    <w:rsid w:val="00057351"/>
    <w:rsid w:val="000600D1"/>
    <w:rsid w:val="00060736"/>
    <w:rsid w:val="00063B1D"/>
    <w:rsid w:val="00065888"/>
    <w:rsid w:val="000729AA"/>
    <w:rsid w:val="00073E81"/>
    <w:rsid w:val="00075F5D"/>
    <w:rsid w:val="00084609"/>
    <w:rsid w:val="00085FCC"/>
    <w:rsid w:val="00090F03"/>
    <w:rsid w:val="00093468"/>
    <w:rsid w:val="00093C27"/>
    <w:rsid w:val="0009586B"/>
    <w:rsid w:val="0009779D"/>
    <w:rsid w:val="000A1AA2"/>
    <w:rsid w:val="000A27BD"/>
    <w:rsid w:val="000A5909"/>
    <w:rsid w:val="000A78F3"/>
    <w:rsid w:val="000B48F9"/>
    <w:rsid w:val="000B7058"/>
    <w:rsid w:val="000C3139"/>
    <w:rsid w:val="000C7FBC"/>
    <w:rsid w:val="000D111F"/>
    <w:rsid w:val="000D15E2"/>
    <w:rsid w:val="000E0C56"/>
    <w:rsid w:val="000E55DC"/>
    <w:rsid w:val="000E57D9"/>
    <w:rsid w:val="000E5FBE"/>
    <w:rsid w:val="000F1544"/>
    <w:rsid w:val="000F1942"/>
    <w:rsid w:val="000F515F"/>
    <w:rsid w:val="000F53FF"/>
    <w:rsid w:val="00100E96"/>
    <w:rsid w:val="001025B1"/>
    <w:rsid w:val="00110430"/>
    <w:rsid w:val="00112F35"/>
    <w:rsid w:val="0011648C"/>
    <w:rsid w:val="00117926"/>
    <w:rsid w:val="00122B86"/>
    <w:rsid w:val="0012781F"/>
    <w:rsid w:val="00127878"/>
    <w:rsid w:val="001332DB"/>
    <w:rsid w:val="001339BD"/>
    <w:rsid w:val="00141C1B"/>
    <w:rsid w:val="00153FFC"/>
    <w:rsid w:val="00155647"/>
    <w:rsid w:val="00164478"/>
    <w:rsid w:val="00164952"/>
    <w:rsid w:val="0017081B"/>
    <w:rsid w:val="0017199D"/>
    <w:rsid w:val="0017543B"/>
    <w:rsid w:val="001765F1"/>
    <w:rsid w:val="00176817"/>
    <w:rsid w:val="00190D23"/>
    <w:rsid w:val="001921DE"/>
    <w:rsid w:val="00195618"/>
    <w:rsid w:val="00195F8A"/>
    <w:rsid w:val="001A10B5"/>
    <w:rsid w:val="001A1536"/>
    <w:rsid w:val="001A1E30"/>
    <w:rsid w:val="001A3A3F"/>
    <w:rsid w:val="001A7ACF"/>
    <w:rsid w:val="001B03CA"/>
    <w:rsid w:val="001B6877"/>
    <w:rsid w:val="001C148F"/>
    <w:rsid w:val="001C5006"/>
    <w:rsid w:val="001D0B19"/>
    <w:rsid w:val="001D0BFD"/>
    <w:rsid w:val="001D4D4E"/>
    <w:rsid w:val="001E1E0B"/>
    <w:rsid w:val="001E1E10"/>
    <w:rsid w:val="001F161C"/>
    <w:rsid w:val="001F2D00"/>
    <w:rsid w:val="001F738C"/>
    <w:rsid w:val="00205B61"/>
    <w:rsid w:val="00210F40"/>
    <w:rsid w:val="00211A9B"/>
    <w:rsid w:val="00213747"/>
    <w:rsid w:val="00223465"/>
    <w:rsid w:val="00223F19"/>
    <w:rsid w:val="0022641A"/>
    <w:rsid w:val="00227DB6"/>
    <w:rsid w:val="0024603A"/>
    <w:rsid w:val="00247A33"/>
    <w:rsid w:val="00253D74"/>
    <w:rsid w:val="0026269A"/>
    <w:rsid w:val="00262BD4"/>
    <w:rsid w:val="002639AB"/>
    <w:rsid w:val="002725AF"/>
    <w:rsid w:val="00274B0D"/>
    <w:rsid w:val="00280B78"/>
    <w:rsid w:val="002825B2"/>
    <w:rsid w:val="00282CCC"/>
    <w:rsid w:val="002948C7"/>
    <w:rsid w:val="00297971"/>
    <w:rsid w:val="002A15DD"/>
    <w:rsid w:val="002A1934"/>
    <w:rsid w:val="002A4248"/>
    <w:rsid w:val="002A5F70"/>
    <w:rsid w:val="002B2EA3"/>
    <w:rsid w:val="002B5F59"/>
    <w:rsid w:val="002C1904"/>
    <w:rsid w:val="002C333D"/>
    <w:rsid w:val="002C71F0"/>
    <w:rsid w:val="002D2921"/>
    <w:rsid w:val="002D5611"/>
    <w:rsid w:val="002E5191"/>
    <w:rsid w:val="002E595F"/>
    <w:rsid w:val="002E6D18"/>
    <w:rsid w:val="002E74D0"/>
    <w:rsid w:val="002F3F21"/>
    <w:rsid w:val="002F5478"/>
    <w:rsid w:val="002F765F"/>
    <w:rsid w:val="00301298"/>
    <w:rsid w:val="00312F99"/>
    <w:rsid w:val="00322742"/>
    <w:rsid w:val="003250CF"/>
    <w:rsid w:val="00326992"/>
    <w:rsid w:val="0033069E"/>
    <w:rsid w:val="00335609"/>
    <w:rsid w:val="003457B6"/>
    <w:rsid w:val="00346CCD"/>
    <w:rsid w:val="00352FEC"/>
    <w:rsid w:val="003535E6"/>
    <w:rsid w:val="003538BC"/>
    <w:rsid w:val="003553E9"/>
    <w:rsid w:val="00370808"/>
    <w:rsid w:val="00372E1E"/>
    <w:rsid w:val="00374957"/>
    <w:rsid w:val="00374CEB"/>
    <w:rsid w:val="00376099"/>
    <w:rsid w:val="0038175C"/>
    <w:rsid w:val="00390E14"/>
    <w:rsid w:val="003925AD"/>
    <w:rsid w:val="003925D3"/>
    <w:rsid w:val="00393693"/>
    <w:rsid w:val="003972BD"/>
    <w:rsid w:val="003B054D"/>
    <w:rsid w:val="003B0C82"/>
    <w:rsid w:val="003B1388"/>
    <w:rsid w:val="003B2CCD"/>
    <w:rsid w:val="003B4646"/>
    <w:rsid w:val="003B7519"/>
    <w:rsid w:val="003C137C"/>
    <w:rsid w:val="003C16BA"/>
    <w:rsid w:val="003C307C"/>
    <w:rsid w:val="003C4742"/>
    <w:rsid w:val="003C632F"/>
    <w:rsid w:val="003D24EA"/>
    <w:rsid w:val="003D5B44"/>
    <w:rsid w:val="003E183F"/>
    <w:rsid w:val="003E192E"/>
    <w:rsid w:val="003E195C"/>
    <w:rsid w:val="003E19F6"/>
    <w:rsid w:val="003F299D"/>
    <w:rsid w:val="003F2DC0"/>
    <w:rsid w:val="003F5769"/>
    <w:rsid w:val="003F60EF"/>
    <w:rsid w:val="003F7043"/>
    <w:rsid w:val="003F7D8B"/>
    <w:rsid w:val="0040043B"/>
    <w:rsid w:val="004007B1"/>
    <w:rsid w:val="00401420"/>
    <w:rsid w:val="00401AD8"/>
    <w:rsid w:val="00401FB7"/>
    <w:rsid w:val="00402880"/>
    <w:rsid w:val="00406481"/>
    <w:rsid w:val="00410EBE"/>
    <w:rsid w:val="00412759"/>
    <w:rsid w:val="00423EEA"/>
    <w:rsid w:val="00426A19"/>
    <w:rsid w:val="00427A75"/>
    <w:rsid w:val="00431E76"/>
    <w:rsid w:val="00435E8A"/>
    <w:rsid w:val="0044186D"/>
    <w:rsid w:val="00441CAF"/>
    <w:rsid w:val="00446338"/>
    <w:rsid w:val="0045025A"/>
    <w:rsid w:val="00451626"/>
    <w:rsid w:val="004666BB"/>
    <w:rsid w:val="004667E0"/>
    <w:rsid w:val="0047071A"/>
    <w:rsid w:val="00475F07"/>
    <w:rsid w:val="00477E27"/>
    <w:rsid w:val="00480A25"/>
    <w:rsid w:val="00482F9E"/>
    <w:rsid w:val="00485A94"/>
    <w:rsid w:val="00487F90"/>
    <w:rsid w:val="004975DB"/>
    <w:rsid w:val="004A177F"/>
    <w:rsid w:val="004A1B4B"/>
    <w:rsid w:val="004A331F"/>
    <w:rsid w:val="004A332C"/>
    <w:rsid w:val="004A49C9"/>
    <w:rsid w:val="004A5CA4"/>
    <w:rsid w:val="004B3000"/>
    <w:rsid w:val="004B6092"/>
    <w:rsid w:val="004B6ED2"/>
    <w:rsid w:val="004C00D2"/>
    <w:rsid w:val="004C1739"/>
    <w:rsid w:val="004C3560"/>
    <w:rsid w:val="004D0B26"/>
    <w:rsid w:val="004D4255"/>
    <w:rsid w:val="004D6B37"/>
    <w:rsid w:val="004D7570"/>
    <w:rsid w:val="004E151E"/>
    <w:rsid w:val="004E7F02"/>
    <w:rsid w:val="004E7F86"/>
    <w:rsid w:val="004F031A"/>
    <w:rsid w:val="004F1341"/>
    <w:rsid w:val="004F456E"/>
    <w:rsid w:val="005006F4"/>
    <w:rsid w:val="005040C1"/>
    <w:rsid w:val="005051D0"/>
    <w:rsid w:val="005053C3"/>
    <w:rsid w:val="00506138"/>
    <w:rsid w:val="00510760"/>
    <w:rsid w:val="00512EBD"/>
    <w:rsid w:val="00517927"/>
    <w:rsid w:val="005206B4"/>
    <w:rsid w:val="00523DFF"/>
    <w:rsid w:val="00524CB3"/>
    <w:rsid w:val="005259A0"/>
    <w:rsid w:val="0053104D"/>
    <w:rsid w:val="00535136"/>
    <w:rsid w:val="00536E47"/>
    <w:rsid w:val="00540898"/>
    <w:rsid w:val="00545C75"/>
    <w:rsid w:val="005539CA"/>
    <w:rsid w:val="00555B1D"/>
    <w:rsid w:val="005638FD"/>
    <w:rsid w:val="0057616E"/>
    <w:rsid w:val="0057682C"/>
    <w:rsid w:val="005804A0"/>
    <w:rsid w:val="00586C2E"/>
    <w:rsid w:val="00590AC0"/>
    <w:rsid w:val="005914EB"/>
    <w:rsid w:val="0059226A"/>
    <w:rsid w:val="0059267B"/>
    <w:rsid w:val="0059459C"/>
    <w:rsid w:val="0059769B"/>
    <w:rsid w:val="005A1C25"/>
    <w:rsid w:val="005A2D9F"/>
    <w:rsid w:val="005A33B4"/>
    <w:rsid w:val="005A570D"/>
    <w:rsid w:val="005B3B5E"/>
    <w:rsid w:val="005B3BFE"/>
    <w:rsid w:val="005B4AD9"/>
    <w:rsid w:val="005B4ECA"/>
    <w:rsid w:val="005C3FFA"/>
    <w:rsid w:val="005C4FE3"/>
    <w:rsid w:val="005C7CEC"/>
    <w:rsid w:val="005D7F9E"/>
    <w:rsid w:val="005E0738"/>
    <w:rsid w:val="005E3F8F"/>
    <w:rsid w:val="005E5712"/>
    <w:rsid w:val="005F3C6A"/>
    <w:rsid w:val="005F3FF2"/>
    <w:rsid w:val="005F4123"/>
    <w:rsid w:val="00614A55"/>
    <w:rsid w:val="006227EE"/>
    <w:rsid w:val="0063475B"/>
    <w:rsid w:val="006404FE"/>
    <w:rsid w:val="0064433A"/>
    <w:rsid w:val="00645630"/>
    <w:rsid w:val="00650641"/>
    <w:rsid w:val="0066103C"/>
    <w:rsid w:val="006618F2"/>
    <w:rsid w:val="00663803"/>
    <w:rsid w:val="00667797"/>
    <w:rsid w:val="00667B7E"/>
    <w:rsid w:val="006706AD"/>
    <w:rsid w:val="00670B8F"/>
    <w:rsid w:val="0067716A"/>
    <w:rsid w:val="00682713"/>
    <w:rsid w:val="00687BA1"/>
    <w:rsid w:val="00690F51"/>
    <w:rsid w:val="006917E6"/>
    <w:rsid w:val="00691EC7"/>
    <w:rsid w:val="00695D57"/>
    <w:rsid w:val="006961BA"/>
    <w:rsid w:val="00696582"/>
    <w:rsid w:val="006A5368"/>
    <w:rsid w:val="006A5F42"/>
    <w:rsid w:val="006A61F8"/>
    <w:rsid w:val="006A65A6"/>
    <w:rsid w:val="006A7E12"/>
    <w:rsid w:val="006B39E9"/>
    <w:rsid w:val="006B57D6"/>
    <w:rsid w:val="006B706A"/>
    <w:rsid w:val="006C0822"/>
    <w:rsid w:val="006C2AB4"/>
    <w:rsid w:val="006C73B3"/>
    <w:rsid w:val="006D0A73"/>
    <w:rsid w:val="006D2EEE"/>
    <w:rsid w:val="006E1575"/>
    <w:rsid w:val="006E53D9"/>
    <w:rsid w:val="006E7A37"/>
    <w:rsid w:val="006F1F66"/>
    <w:rsid w:val="006F64EC"/>
    <w:rsid w:val="007006A5"/>
    <w:rsid w:val="00705309"/>
    <w:rsid w:val="0070781B"/>
    <w:rsid w:val="00710FB4"/>
    <w:rsid w:val="00713F90"/>
    <w:rsid w:val="00714E7C"/>
    <w:rsid w:val="00721625"/>
    <w:rsid w:val="007278DA"/>
    <w:rsid w:val="0074754A"/>
    <w:rsid w:val="007504FE"/>
    <w:rsid w:val="007519DD"/>
    <w:rsid w:val="007520E0"/>
    <w:rsid w:val="007540A0"/>
    <w:rsid w:val="00755ADC"/>
    <w:rsid w:val="007660B4"/>
    <w:rsid w:val="007675A3"/>
    <w:rsid w:val="00775B7C"/>
    <w:rsid w:val="00781701"/>
    <w:rsid w:val="00781EE1"/>
    <w:rsid w:val="00783873"/>
    <w:rsid w:val="00783B25"/>
    <w:rsid w:val="0079014D"/>
    <w:rsid w:val="00796BA5"/>
    <w:rsid w:val="00797925"/>
    <w:rsid w:val="007A0E8C"/>
    <w:rsid w:val="007A4695"/>
    <w:rsid w:val="007A4807"/>
    <w:rsid w:val="007A7488"/>
    <w:rsid w:val="007A7B7B"/>
    <w:rsid w:val="007B2913"/>
    <w:rsid w:val="007B5004"/>
    <w:rsid w:val="007C551D"/>
    <w:rsid w:val="007C5F19"/>
    <w:rsid w:val="007C635F"/>
    <w:rsid w:val="007D086D"/>
    <w:rsid w:val="007D3240"/>
    <w:rsid w:val="007D4A77"/>
    <w:rsid w:val="007D64DA"/>
    <w:rsid w:val="007E0CCC"/>
    <w:rsid w:val="007E17D4"/>
    <w:rsid w:val="007E7E58"/>
    <w:rsid w:val="007F61F8"/>
    <w:rsid w:val="007F665E"/>
    <w:rsid w:val="007F76E6"/>
    <w:rsid w:val="007F7B28"/>
    <w:rsid w:val="007F7BBB"/>
    <w:rsid w:val="00807DE7"/>
    <w:rsid w:val="0081063F"/>
    <w:rsid w:val="00811E09"/>
    <w:rsid w:val="00815142"/>
    <w:rsid w:val="008172D6"/>
    <w:rsid w:val="0082392F"/>
    <w:rsid w:val="00826967"/>
    <w:rsid w:val="0083140A"/>
    <w:rsid w:val="00832A65"/>
    <w:rsid w:val="008339AC"/>
    <w:rsid w:val="008344D4"/>
    <w:rsid w:val="0083543A"/>
    <w:rsid w:val="00837782"/>
    <w:rsid w:val="00846679"/>
    <w:rsid w:val="00851DE7"/>
    <w:rsid w:val="00853189"/>
    <w:rsid w:val="0085556F"/>
    <w:rsid w:val="008600E8"/>
    <w:rsid w:val="00865D27"/>
    <w:rsid w:val="00866C08"/>
    <w:rsid w:val="00867CF5"/>
    <w:rsid w:val="008718F2"/>
    <w:rsid w:val="00872A10"/>
    <w:rsid w:val="00875CEF"/>
    <w:rsid w:val="00876ACF"/>
    <w:rsid w:val="00885F73"/>
    <w:rsid w:val="00887F26"/>
    <w:rsid w:val="008A1A28"/>
    <w:rsid w:val="008A3CE3"/>
    <w:rsid w:val="008A7C1D"/>
    <w:rsid w:val="008B0AF3"/>
    <w:rsid w:val="008B13F5"/>
    <w:rsid w:val="008B39DC"/>
    <w:rsid w:val="008B65C4"/>
    <w:rsid w:val="008C1394"/>
    <w:rsid w:val="008C6873"/>
    <w:rsid w:val="008C7D4B"/>
    <w:rsid w:val="008D0987"/>
    <w:rsid w:val="008D2788"/>
    <w:rsid w:val="008D2DDE"/>
    <w:rsid w:val="008D78D8"/>
    <w:rsid w:val="008D7E1B"/>
    <w:rsid w:val="008E2936"/>
    <w:rsid w:val="008F1A37"/>
    <w:rsid w:val="008F7D73"/>
    <w:rsid w:val="00901756"/>
    <w:rsid w:val="00903CB7"/>
    <w:rsid w:val="009133BC"/>
    <w:rsid w:val="00914000"/>
    <w:rsid w:val="00916700"/>
    <w:rsid w:val="009225B3"/>
    <w:rsid w:val="009312E1"/>
    <w:rsid w:val="00934268"/>
    <w:rsid w:val="009458E1"/>
    <w:rsid w:val="00946D59"/>
    <w:rsid w:val="009473A7"/>
    <w:rsid w:val="00947C9A"/>
    <w:rsid w:val="00950F78"/>
    <w:rsid w:val="00952E7D"/>
    <w:rsid w:val="00960878"/>
    <w:rsid w:val="00965E8D"/>
    <w:rsid w:val="0096670D"/>
    <w:rsid w:val="009708F9"/>
    <w:rsid w:val="00971079"/>
    <w:rsid w:val="00974799"/>
    <w:rsid w:val="00975A5E"/>
    <w:rsid w:val="00980405"/>
    <w:rsid w:val="009825E0"/>
    <w:rsid w:val="0098784E"/>
    <w:rsid w:val="00993CD8"/>
    <w:rsid w:val="00994B1C"/>
    <w:rsid w:val="00994CFE"/>
    <w:rsid w:val="00996A9E"/>
    <w:rsid w:val="009A11EF"/>
    <w:rsid w:val="009A266E"/>
    <w:rsid w:val="009A34BF"/>
    <w:rsid w:val="009B14B2"/>
    <w:rsid w:val="009B7DC2"/>
    <w:rsid w:val="009C0C96"/>
    <w:rsid w:val="009C14B3"/>
    <w:rsid w:val="009C49B6"/>
    <w:rsid w:val="009C5959"/>
    <w:rsid w:val="009D0954"/>
    <w:rsid w:val="009D1C1C"/>
    <w:rsid w:val="009D1F3C"/>
    <w:rsid w:val="009E3331"/>
    <w:rsid w:val="009E42B7"/>
    <w:rsid w:val="009F62DE"/>
    <w:rsid w:val="00A001C1"/>
    <w:rsid w:val="00A007BD"/>
    <w:rsid w:val="00A01325"/>
    <w:rsid w:val="00A04F43"/>
    <w:rsid w:val="00A07FB5"/>
    <w:rsid w:val="00A158DE"/>
    <w:rsid w:val="00A15D02"/>
    <w:rsid w:val="00A253C3"/>
    <w:rsid w:val="00A32AA7"/>
    <w:rsid w:val="00A36515"/>
    <w:rsid w:val="00A429DB"/>
    <w:rsid w:val="00A43B37"/>
    <w:rsid w:val="00A46E5D"/>
    <w:rsid w:val="00A47520"/>
    <w:rsid w:val="00A6167B"/>
    <w:rsid w:val="00A62C94"/>
    <w:rsid w:val="00A70FA0"/>
    <w:rsid w:val="00A744F2"/>
    <w:rsid w:val="00A81B4C"/>
    <w:rsid w:val="00A81E69"/>
    <w:rsid w:val="00A82948"/>
    <w:rsid w:val="00A83615"/>
    <w:rsid w:val="00AA4E89"/>
    <w:rsid w:val="00AA5482"/>
    <w:rsid w:val="00AA6E31"/>
    <w:rsid w:val="00AB3DD1"/>
    <w:rsid w:val="00AB413C"/>
    <w:rsid w:val="00AB52A3"/>
    <w:rsid w:val="00AB52D6"/>
    <w:rsid w:val="00AB5704"/>
    <w:rsid w:val="00AC4A0C"/>
    <w:rsid w:val="00AC6917"/>
    <w:rsid w:val="00AD2F73"/>
    <w:rsid w:val="00AD31F9"/>
    <w:rsid w:val="00AD446E"/>
    <w:rsid w:val="00AE2FCB"/>
    <w:rsid w:val="00AF234D"/>
    <w:rsid w:val="00AF6C9A"/>
    <w:rsid w:val="00B04EB1"/>
    <w:rsid w:val="00B102D0"/>
    <w:rsid w:val="00B1678B"/>
    <w:rsid w:val="00B16A3C"/>
    <w:rsid w:val="00B21A68"/>
    <w:rsid w:val="00B23E7E"/>
    <w:rsid w:val="00B31E48"/>
    <w:rsid w:val="00B32B8E"/>
    <w:rsid w:val="00B34252"/>
    <w:rsid w:val="00B36676"/>
    <w:rsid w:val="00B37771"/>
    <w:rsid w:val="00B379CF"/>
    <w:rsid w:val="00B4082F"/>
    <w:rsid w:val="00B4104F"/>
    <w:rsid w:val="00B42B49"/>
    <w:rsid w:val="00B47C57"/>
    <w:rsid w:val="00B53EFA"/>
    <w:rsid w:val="00B61D0E"/>
    <w:rsid w:val="00B62A72"/>
    <w:rsid w:val="00B647C1"/>
    <w:rsid w:val="00B65B38"/>
    <w:rsid w:val="00B91746"/>
    <w:rsid w:val="00B92DD2"/>
    <w:rsid w:val="00B96EE6"/>
    <w:rsid w:val="00B97622"/>
    <w:rsid w:val="00BA073B"/>
    <w:rsid w:val="00BA12A6"/>
    <w:rsid w:val="00BA1AF1"/>
    <w:rsid w:val="00BA3338"/>
    <w:rsid w:val="00BB2006"/>
    <w:rsid w:val="00BC1FF9"/>
    <w:rsid w:val="00BC6DCE"/>
    <w:rsid w:val="00BD0615"/>
    <w:rsid w:val="00BD451B"/>
    <w:rsid w:val="00BD5B25"/>
    <w:rsid w:val="00BE4FEF"/>
    <w:rsid w:val="00BE5139"/>
    <w:rsid w:val="00BE5216"/>
    <w:rsid w:val="00BF0D5F"/>
    <w:rsid w:val="00BF4F63"/>
    <w:rsid w:val="00BF7D48"/>
    <w:rsid w:val="00C0336C"/>
    <w:rsid w:val="00C123DD"/>
    <w:rsid w:val="00C20F7E"/>
    <w:rsid w:val="00C21F3F"/>
    <w:rsid w:val="00C35DBA"/>
    <w:rsid w:val="00C41764"/>
    <w:rsid w:val="00C46485"/>
    <w:rsid w:val="00C46CF2"/>
    <w:rsid w:val="00C50E00"/>
    <w:rsid w:val="00C51DA5"/>
    <w:rsid w:val="00C54FC4"/>
    <w:rsid w:val="00C627F7"/>
    <w:rsid w:val="00C670DC"/>
    <w:rsid w:val="00C85AC9"/>
    <w:rsid w:val="00C85E50"/>
    <w:rsid w:val="00C86514"/>
    <w:rsid w:val="00C8667B"/>
    <w:rsid w:val="00C90B4F"/>
    <w:rsid w:val="00C9191F"/>
    <w:rsid w:val="00C96CB1"/>
    <w:rsid w:val="00C96E1D"/>
    <w:rsid w:val="00C97056"/>
    <w:rsid w:val="00CA12E4"/>
    <w:rsid w:val="00CA2016"/>
    <w:rsid w:val="00CA2BB4"/>
    <w:rsid w:val="00CA3B61"/>
    <w:rsid w:val="00CC0B32"/>
    <w:rsid w:val="00CC0B96"/>
    <w:rsid w:val="00CC6945"/>
    <w:rsid w:val="00CD123E"/>
    <w:rsid w:val="00CD6F77"/>
    <w:rsid w:val="00CE4E4F"/>
    <w:rsid w:val="00CE6D71"/>
    <w:rsid w:val="00CF2288"/>
    <w:rsid w:val="00CF374B"/>
    <w:rsid w:val="00CF6A40"/>
    <w:rsid w:val="00CF6C77"/>
    <w:rsid w:val="00CF6E75"/>
    <w:rsid w:val="00D12427"/>
    <w:rsid w:val="00D17EF0"/>
    <w:rsid w:val="00D22029"/>
    <w:rsid w:val="00D225D0"/>
    <w:rsid w:val="00D23A8E"/>
    <w:rsid w:val="00D263A0"/>
    <w:rsid w:val="00D307CE"/>
    <w:rsid w:val="00D33A2A"/>
    <w:rsid w:val="00D352AE"/>
    <w:rsid w:val="00D40D42"/>
    <w:rsid w:val="00D44EC4"/>
    <w:rsid w:val="00D45B70"/>
    <w:rsid w:val="00D462D1"/>
    <w:rsid w:val="00D4646A"/>
    <w:rsid w:val="00D514C9"/>
    <w:rsid w:val="00D56446"/>
    <w:rsid w:val="00D610C6"/>
    <w:rsid w:val="00D61180"/>
    <w:rsid w:val="00D628B8"/>
    <w:rsid w:val="00D6313F"/>
    <w:rsid w:val="00D64E5F"/>
    <w:rsid w:val="00D66C6D"/>
    <w:rsid w:val="00D67BD0"/>
    <w:rsid w:val="00D73533"/>
    <w:rsid w:val="00D75D34"/>
    <w:rsid w:val="00D76D55"/>
    <w:rsid w:val="00D76F7C"/>
    <w:rsid w:val="00D80174"/>
    <w:rsid w:val="00D97100"/>
    <w:rsid w:val="00DA073F"/>
    <w:rsid w:val="00DA172E"/>
    <w:rsid w:val="00DA18A2"/>
    <w:rsid w:val="00DA4662"/>
    <w:rsid w:val="00DB1F15"/>
    <w:rsid w:val="00DB26FD"/>
    <w:rsid w:val="00DC11E9"/>
    <w:rsid w:val="00DC124B"/>
    <w:rsid w:val="00DC396A"/>
    <w:rsid w:val="00DC6C3B"/>
    <w:rsid w:val="00DC744C"/>
    <w:rsid w:val="00DD0532"/>
    <w:rsid w:val="00DD3699"/>
    <w:rsid w:val="00DD7E35"/>
    <w:rsid w:val="00DF0BFB"/>
    <w:rsid w:val="00DF52C4"/>
    <w:rsid w:val="00DF5F36"/>
    <w:rsid w:val="00DF6AFF"/>
    <w:rsid w:val="00DF726D"/>
    <w:rsid w:val="00E04644"/>
    <w:rsid w:val="00E06CA6"/>
    <w:rsid w:val="00E17584"/>
    <w:rsid w:val="00E20CEF"/>
    <w:rsid w:val="00E26277"/>
    <w:rsid w:val="00E306A5"/>
    <w:rsid w:val="00E31A1B"/>
    <w:rsid w:val="00E32A9D"/>
    <w:rsid w:val="00E37E59"/>
    <w:rsid w:val="00E4211E"/>
    <w:rsid w:val="00E42E30"/>
    <w:rsid w:val="00E441B7"/>
    <w:rsid w:val="00E47AD3"/>
    <w:rsid w:val="00E5150F"/>
    <w:rsid w:val="00E529D9"/>
    <w:rsid w:val="00E53049"/>
    <w:rsid w:val="00E55AFF"/>
    <w:rsid w:val="00E62CDD"/>
    <w:rsid w:val="00E6494C"/>
    <w:rsid w:val="00E657FB"/>
    <w:rsid w:val="00E65844"/>
    <w:rsid w:val="00E65D27"/>
    <w:rsid w:val="00E756F7"/>
    <w:rsid w:val="00E77166"/>
    <w:rsid w:val="00E81E4F"/>
    <w:rsid w:val="00E90B9C"/>
    <w:rsid w:val="00E940E8"/>
    <w:rsid w:val="00EB18E5"/>
    <w:rsid w:val="00EB66B0"/>
    <w:rsid w:val="00EC0B4F"/>
    <w:rsid w:val="00ED1F6F"/>
    <w:rsid w:val="00EF1EFC"/>
    <w:rsid w:val="00EF29DA"/>
    <w:rsid w:val="00EF34CD"/>
    <w:rsid w:val="00EF34FF"/>
    <w:rsid w:val="00EF414A"/>
    <w:rsid w:val="00EF60DB"/>
    <w:rsid w:val="00EF6E9A"/>
    <w:rsid w:val="00F00356"/>
    <w:rsid w:val="00F00C0E"/>
    <w:rsid w:val="00F035A4"/>
    <w:rsid w:val="00F03D66"/>
    <w:rsid w:val="00F045FE"/>
    <w:rsid w:val="00F07071"/>
    <w:rsid w:val="00F10325"/>
    <w:rsid w:val="00F11E1B"/>
    <w:rsid w:val="00F1422A"/>
    <w:rsid w:val="00F166CD"/>
    <w:rsid w:val="00F20954"/>
    <w:rsid w:val="00F254E3"/>
    <w:rsid w:val="00F26F68"/>
    <w:rsid w:val="00F326C9"/>
    <w:rsid w:val="00F37D1D"/>
    <w:rsid w:val="00F440B9"/>
    <w:rsid w:val="00F44C05"/>
    <w:rsid w:val="00F4640B"/>
    <w:rsid w:val="00F5288B"/>
    <w:rsid w:val="00F555B6"/>
    <w:rsid w:val="00F56D1B"/>
    <w:rsid w:val="00F63312"/>
    <w:rsid w:val="00F6607A"/>
    <w:rsid w:val="00F665E9"/>
    <w:rsid w:val="00F70002"/>
    <w:rsid w:val="00F70398"/>
    <w:rsid w:val="00F70F77"/>
    <w:rsid w:val="00F76918"/>
    <w:rsid w:val="00F77B36"/>
    <w:rsid w:val="00F95E60"/>
    <w:rsid w:val="00FB5A20"/>
    <w:rsid w:val="00FB718C"/>
    <w:rsid w:val="00FC4B94"/>
    <w:rsid w:val="00FC626C"/>
    <w:rsid w:val="00FC7E17"/>
    <w:rsid w:val="00FD1978"/>
    <w:rsid w:val="00FD5951"/>
    <w:rsid w:val="00FD74F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EABF241-60BD-4C08-B757-DDDF1D57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annotation text"/>
    <w:basedOn w:val="a"/>
    <w:link w:val="aa"/>
    <w:uiPriority w:val="99"/>
    <w:unhideWhenUsed/>
    <w:rsid w:val="001C14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C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3">
    <w:name w:val="Верхний колонтитул Знак153"/>
    <w:aliases w:val="Знак Знак153"/>
    <w:uiPriority w:val="99"/>
    <w:semiHidden/>
    <w:rsid w:val="003C4742"/>
    <w:rPr>
      <w:rFonts w:cs="Times New Roman"/>
      <w:sz w:val="28"/>
      <w:szCs w:val="28"/>
    </w:rPr>
  </w:style>
  <w:style w:type="character" w:customStyle="1" w:styleId="FontStyle77">
    <w:name w:val="Font Style77"/>
    <w:uiPriority w:val="99"/>
    <w:rsid w:val="00D45B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1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Буржинская Оксана Владимировна</cp:lastModifiedBy>
  <cp:revision>24</cp:revision>
  <cp:lastPrinted>2020-12-09T03:13:00Z</cp:lastPrinted>
  <dcterms:created xsi:type="dcterms:W3CDTF">2022-01-13T05:46:00Z</dcterms:created>
  <dcterms:modified xsi:type="dcterms:W3CDTF">2022-12-07T08:07:00Z</dcterms:modified>
</cp:coreProperties>
</file>