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9626D7">
        <w:rPr>
          <w:b w:val="0"/>
          <w:i w:val="0"/>
        </w:rPr>
        <w:t>5</w:t>
      </w:r>
    </w:p>
    <w:p w:rsidR="00181C3E" w:rsidRPr="00E47E0A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E47E0A">
        <w:rPr>
          <w:rFonts w:eastAsia="Times New Roman"/>
          <w:bCs/>
          <w:sz w:val="24"/>
          <w:szCs w:val="24"/>
          <w:lang w:eastAsia="ru-RU"/>
        </w:rPr>
        <w:t xml:space="preserve">Приложение </w:t>
      </w:r>
      <w:r w:rsidR="00E47E0A" w:rsidRPr="00E47E0A">
        <w:rPr>
          <w:rFonts w:eastAsia="Times New Roman"/>
          <w:bCs/>
          <w:sz w:val="24"/>
          <w:szCs w:val="24"/>
          <w:lang w:eastAsia="ru-RU"/>
        </w:rPr>
        <w:t>4</w:t>
      </w:r>
      <w:r w:rsidRPr="00E47E0A">
        <w:rPr>
          <w:rFonts w:eastAsia="Times New Roman"/>
          <w:bCs/>
          <w:sz w:val="24"/>
          <w:szCs w:val="24"/>
          <w:lang w:eastAsia="ru-RU"/>
        </w:rPr>
        <w:t xml:space="preserve">1 к Правилам </w:t>
      </w:r>
      <w:proofErr w:type="spellStart"/>
      <w:r w:rsidRPr="00E47E0A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E47E0A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E47E0A" w:rsidRDefault="00E47E0A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181C3E" w:rsidRPr="00E47E0A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E47E0A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E47E0A">
        <w:rPr>
          <w:rFonts w:eastAsia="Times New Roman"/>
          <w:bCs/>
          <w:sz w:val="24"/>
          <w:szCs w:val="24"/>
          <w:lang w:eastAsia="ru-RU"/>
        </w:rPr>
        <w:t>лесовосста</w:t>
      </w:r>
      <w:bookmarkStart w:id="1" w:name="_GoBack"/>
      <w:bookmarkEnd w:id="1"/>
      <w:r w:rsidRPr="00E47E0A">
        <w:rPr>
          <w:rFonts w:eastAsia="Times New Roman"/>
          <w:bCs/>
          <w:sz w:val="24"/>
          <w:szCs w:val="24"/>
          <w:lang w:eastAsia="ru-RU"/>
        </w:rPr>
        <w:t>новления</w:t>
      </w:r>
      <w:proofErr w:type="spellEnd"/>
      <w:r w:rsidRPr="00E47E0A">
        <w:rPr>
          <w:rFonts w:eastAsia="Times New Roman"/>
          <w:bCs/>
          <w:sz w:val="24"/>
          <w:szCs w:val="24"/>
          <w:lang w:eastAsia="ru-RU"/>
        </w:rPr>
        <w:t xml:space="preserve"> в </w:t>
      </w:r>
      <w:r w:rsidR="00E47E0A" w:rsidRPr="00E47E0A">
        <w:rPr>
          <w:rFonts w:eastAsia="Times New Roman"/>
          <w:bCs/>
          <w:sz w:val="24"/>
          <w:szCs w:val="24"/>
          <w:lang w:eastAsia="ru-RU"/>
        </w:rPr>
        <w:t xml:space="preserve">Алтае-Новосибирском районе </w:t>
      </w:r>
      <w:proofErr w:type="spellStart"/>
      <w:r w:rsidR="00E47E0A" w:rsidRPr="00E47E0A">
        <w:rPr>
          <w:rFonts w:eastAsia="Times New Roman"/>
          <w:bCs/>
          <w:sz w:val="24"/>
          <w:szCs w:val="24"/>
          <w:lang w:eastAsia="ru-RU"/>
        </w:rPr>
        <w:t>районе</w:t>
      </w:r>
      <w:proofErr w:type="spellEnd"/>
      <w:r w:rsidR="00E47E0A" w:rsidRPr="00E47E0A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="00E47E0A" w:rsidRPr="00E47E0A">
        <w:rPr>
          <w:rFonts w:eastAsia="Times New Roman"/>
          <w:bCs/>
          <w:sz w:val="24"/>
          <w:szCs w:val="24"/>
          <w:lang w:eastAsia="ru-RU"/>
        </w:rPr>
        <w:t>лесостепей</w:t>
      </w:r>
      <w:proofErr w:type="spellEnd"/>
      <w:r w:rsidR="00E47E0A" w:rsidRPr="00E47E0A">
        <w:rPr>
          <w:rFonts w:eastAsia="Times New Roman"/>
          <w:bCs/>
          <w:sz w:val="24"/>
          <w:szCs w:val="24"/>
          <w:lang w:eastAsia="ru-RU"/>
        </w:rPr>
        <w:t xml:space="preserve"> и ленточных боров</w:t>
      </w:r>
    </w:p>
    <w:p w:rsidR="00181C3E" w:rsidRPr="00E47E0A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E47E0A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E47E0A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E47E0A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p w:rsidR="00DF657E" w:rsidRPr="00E47E0A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4"/>
        <w:gridCol w:w="963"/>
        <w:gridCol w:w="1417"/>
        <w:gridCol w:w="1134"/>
        <w:gridCol w:w="2977"/>
        <w:gridCol w:w="2693"/>
        <w:gridCol w:w="1985"/>
        <w:gridCol w:w="1843"/>
      </w:tblGrid>
      <w:tr w:rsidR="00E47E0A" w:rsidRPr="00E47E0A" w:rsidTr="00E47E0A">
        <w:tc>
          <w:tcPr>
            <w:tcW w:w="1584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3514" w:type="dxa"/>
            <w:gridSpan w:val="3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Требования к посадочному материалу</w:t>
            </w:r>
          </w:p>
        </w:tc>
        <w:tc>
          <w:tcPr>
            <w:tcW w:w="9498" w:type="dxa"/>
            <w:gridSpan w:val="4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E47E0A" w:rsidRPr="00E47E0A" w:rsidTr="00E47E0A">
        <w:tc>
          <w:tcPr>
            <w:tcW w:w="158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возраст не менее, лет</w:t>
            </w:r>
          </w:p>
        </w:tc>
        <w:tc>
          <w:tcPr>
            <w:tcW w:w="141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диаметр стволика у корневой шейки не менее, мм</w:t>
            </w:r>
          </w:p>
        </w:tc>
        <w:tc>
          <w:tcPr>
            <w:tcW w:w="113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высота стволика не менее, см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средняя высота деревьев основных пород не менее, м</w:t>
            </w:r>
          </w:p>
        </w:tc>
      </w:tr>
      <w:tr w:rsidR="00E47E0A" w:rsidRPr="00E47E0A" w:rsidTr="00E47E0A">
        <w:tc>
          <w:tcPr>
            <w:tcW w:w="158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E47E0A" w:rsidRPr="00E47E0A" w:rsidTr="00E47E0A">
        <w:tc>
          <w:tcPr>
            <w:tcW w:w="1584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 xml:space="preserve">Береза 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повислая</w:t>
            </w:r>
            <w:proofErr w:type="spellEnd"/>
            <w:r w:rsidRPr="00E47E0A">
              <w:rPr>
                <w:sz w:val="22"/>
                <w:szCs w:val="22"/>
                <w:lang w:eastAsia="ru-RU"/>
              </w:rPr>
              <w:t xml:space="preserve"> (бородавчатая)</w:t>
            </w:r>
          </w:p>
        </w:tc>
        <w:tc>
          <w:tcPr>
            <w:tcW w:w="963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34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Свежие и влажные березняки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1,4</w:t>
            </w:r>
          </w:p>
        </w:tc>
      </w:tr>
      <w:tr w:rsidR="00E47E0A" w:rsidRPr="00E47E0A" w:rsidTr="00E47E0A">
        <w:tc>
          <w:tcPr>
            <w:tcW w:w="158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Солонцы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1,2</w:t>
            </w:r>
          </w:p>
        </w:tc>
      </w:tr>
      <w:tr w:rsidR="00E47E0A" w:rsidRPr="00E47E0A" w:rsidTr="00E47E0A">
        <w:tc>
          <w:tcPr>
            <w:tcW w:w="158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Ель сибирская</w:t>
            </w:r>
          </w:p>
        </w:tc>
        <w:tc>
          <w:tcPr>
            <w:tcW w:w="96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41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3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Травяная и сложная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0,9</w:t>
            </w:r>
          </w:p>
        </w:tc>
      </w:tr>
      <w:tr w:rsidR="00E47E0A" w:rsidRPr="00E47E0A" w:rsidTr="00E47E0A">
        <w:tc>
          <w:tcPr>
            <w:tcW w:w="158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Лиственница сибирская</w:t>
            </w:r>
          </w:p>
        </w:tc>
        <w:tc>
          <w:tcPr>
            <w:tcW w:w="96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3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Травяная и сложная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E47E0A" w:rsidRPr="00E47E0A" w:rsidTr="00E47E0A">
        <w:tc>
          <w:tcPr>
            <w:tcW w:w="158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 xml:space="preserve">Сосна кедровая </w:t>
            </w:r>
            <w:r w:rsidRPr="00E47E0A">
              <w:rPr>
                <w:sz w:val="22"/>
                <w:szCs w:val="22"/>
                <w:lang w:eastAsia="ru-RU"/>
              </w:rPr>
              <w:lastRenderedPageBreak/>
              <w:t>сибирская</w:t>
            </w:r>
          </w:p>
        </w:tc>
        <w:tc>
          <w:tcPr>
            <w:tcW w:w="96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lastRenderedPageBreak/>
              <w:t>3 - 4</w:t>
            </w:r>
          </w:p>
        </w:tc>
        <w:tc>
          <w:tcPr>
            <w:tcW w:w="141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13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Травяная и сложная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E47E0A" w:rsidRPr="00E47E0A" w:rsidTr="00E47E0A">
        <w:tc>
          <w:tcPr>
            <w:tcW w:w="1584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Сосна обыкновенная</w:t>
            </w:r>
          </w:p>
        </w:tc>
        <w:tc>
          <w:tcPr>
            <w:tcW w:w="963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417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34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Лишайниковая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0,9</w:t>
            </w:r>
          </w:p>
        </w:tc>
      </w:tr>
      <w:tr w:rsidR="00E47E0A" w:rsidRPr="00E47E0A" w:rsidTr="00E47E0A">
        <w:tc>
          <w:tcPr>
            <w:tcW w:w="158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Брусничная и мшистая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1,2</w:t>
            </w:r>
          </w:p>
        </w:tc>
      </w:tr>
      <w:tr w:rsidR="00E47E0A" w:rsidRPr="00E47E0A" w:rsidTr="00E47E0A">
        <w:tc>
          <w:tcPr>
            <w:tcW w:w="158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Травяная и сложная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E47E0A" w:rsidRPr="00E47E0A" w:rsidTr="00E47E0A">
        <w:tc>
          <w:tcPr>
            <w:tcW w:w="158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Солонцы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E47E0A" w:rsidRPr="00E47E0A" w:rsidTr="00E47E0A">
        <w:tc>
          <w:tcPr>
            <w:tcW w:w="158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Осина*</w:t>
            </w:r>
          </w:p>
        </w:tc>
        <w:tc>
          <w:tcPr>
            <w:tcW w:w="96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977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Для всех типов лесорастительных условий</w:t>
            </w:r>
          </w:p>
        </w:tc>
        <w:tc>
          <w:tcPr>
            <w:tcW w:w="269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5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1,8</w:t>
            </w:r>
          </w:p>
        </w:tc>
      </w:tr>
    </w:tbl>
    <w:p w:rsidR="00181C3E" w:rsidRPr="00E47E0A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E47E0A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E47E0A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E47E0A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E47E0A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E47E0A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E47E0A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E47E0A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E47E0A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094"/>
        <w:gridCol w:w="1843"/>
        <w:gridCol w:w="5103"/>
        <w:gridCol w:w="3969"/>
      </w:tblGrid>
      <w:tr w:rsidR="00E47E0A" w:rsidRPr="00E47E0A" w:rsidTr="00E47E0A">
        <w:tc>
          <w:tcPr>
            <w:tcW w:w="3681" w:type="dxa"/>
            <w:gridSpan w:val="2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 xml:space="preserve">Способы 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Группы типов леса, типы лесорастительных условий</w:t>
            </w:r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Количество жизнеспособного подроста и молодняка, тыс. штук на 1 га</w:t>
            </w:r>
          </w:p>
        </w:tc>
      </w:tr>
      <w:tr w:rsidR="00E47E0A" w:rsidRPr="00E47E0A" w:rsidTr="00E47E0A">
        <w:tc>
          <w:tcPr>
            <w:tcW w:w="3681" w:type="dxa"/>
            <w:gridSpan w:val="2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E47E0A" w:rsidRPr="00E47E0A" w:rsidTr="00E47E0A">
        <w:tc>
          <w:tcPr>
            <w:tcW w:w="1587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2094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путем мероприятий по сохранению подроста, ухода за подростом</w:t>
            </w:r>
          </w:p>
        </w:tc>
        <w:tc>
          <w:tcPr>
            <w:tcW w:w="1843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Более 1,5</w:t>
            </w:r>
          </w:p>
        </w:tc>
      </w:tr>
      <w:tr w:rsidR="00E47E0A" w:rsidRPr="00E47E0A" w:rsidTr="00E47E0A">
        <w:tc>
          <w:tcPr>
            <w:tcW w:w="1587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E47E0A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E47E0A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Более 2</w:t>
            </w:r>
          </w:p>
        </w:tc>
      </w:tr>
      <w:tr w:rsidR="00E47E0A" w:rsidRPr="00E47E0A" w:rsidTr="00E47E0A">
        <w:tc>
          <w:tcPr>
            <w:tcW w:w="1587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E47E0A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Более 2,5</w:t>
            </w:r>
          </w:p>
        </w:tc>
      </w:tr>
      <w:tr w:rsidR="00E47E0A" w:rsidRPr="00E47E0A" w:rsidTr="00E47E0A">
        <w:tc>
          <w:tcPr>
            <w:tcW w:w="1587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E47E0A">
              <w:rPr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Более 3</w:t>
            </w:r>
          </w:p>
        </w:tc>
      </w:tr>
      <w:tr w:rsidR="00E47E0A" w:rsidRPr="00E47E0A" w:rsidTr="00E47E0A">
        <w:tc>
          <w:tcPr>
            <w:tcW w:w="1587" w:type="dxa"/>
            <w:vMerge w:val="restart"/>
            <w:tcBorders>
              <w:bottom w:val="nil"/>
            </w:tcBorders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2094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путем минерализации почвы</w:t>
            </w:r>
          </w:p>
        </w:tc>
        <w:tc>
          <w:tcPr>
            <w:tcW w:w="1843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1,0 - 1,5</w:t>
            </w:r>
          </w:p>
        </w:tc>
      </w:tr>
      <w:tr w:rsidR="00E47E0A" w:rsidRPr="00E47E0A" w:rsidTr="00E47E0A">
        <w:tc>
          <w:tcPr>
            <w:tcW w:w="1587" w:type="dxa"/>
            <w:vMerge/>
            <w:tcBorders>
              <w:bottom w:val="nil"/>
            </w:tcBorders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E47E0A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E47E0A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1 - 2</w:t>
            </w:r>
          </w:p>
        </w:tc>
      </w:tr>
      <w:tr w:rsidR="00E47E0A" w:rsidRPr="00E47E0A" w:rsidTr="00E47E0A">
        <w:tc>
          <w:tcPr>
            <w:tcW w:w="1587" w:type="dxa"/>
            <w:vMerge w:val="restart"/>
            <w:tcBorders>
              <w:top w:val="nil"/>
            </w:tcBorders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 xml:space="preserve">Комбинированное 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209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E47E0A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1 - 2,5</w:t>
            </w:r>
          </w:p>
        </w:tc>
      </w:tr>
      <w:tr w:rsidR="00E47E0A" w:rsidRPr="00E47E0A" w:rsidTr="00E47E0A">
        <w:tc>
          <w:tcPr>
            <w:tcW w:w="1587" w:type="dxa"/>
            <w:vMerge/>
            <w:tcBorders>
              <w:top w:val="nil"/>
            </w:tcBorders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E47E0A">
              <w:rPr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1,5 - 3</w:t>
            </w:r>
          </w:p>
        </w:tc>
      </w:tr>
      <w:tr w:rsidR="00E47E0A" w:rsidRPr="00E47E0A" w:rsidTr="00E47E0A">
        <w:tc>
          <w:tcPr>
            <w:tcW w:w="3681" w:type="dxa"/>
            <w:gridSpan w:val="2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lastRenderedPageBreak/>
              <w:t xml:space="preserve">Искусственное 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84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 xml:space="preserve">Нагорная и лишайниковая, 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E47E0A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Менее 1</w:t>
            </w:r>
          </w:p>
        </w:tc>
      </w:tr>
      <w:tr w:rsidR="00E47E0A" w:rsidRPr="00E47E0A" w:rsidTr="00E47E0A">
        <w:tc>
          <w:tcPr>
            <w:tcW w:w="3681" w:type="dxa"/>
            <w:gridSpan w:val="2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E47E0A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Менее 1</w:t>
            </w:r>
          </w:p>
        </w:tc>
      </w:tr>
      <w:tr w:rsidR="00E47E0A" w:rsidRPr="00E47E0A" w:rsidTr="00E47E0A">
        <w:tc>
          <w:tcPr>
            <w:tcW w:w="3681" w:type="dxa"/>
            <w:gridSpan w:val="2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E47E0A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E47E0A">
              <w:rPr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969" w:type="dxa"/>
          </w:tcPr>
          <w:p w:rsidR="00E47E0A" w:rsidRPr="00E47E0A" w:rsidRDefault="00E47E0A" w:rsidP="00E47E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47E0A">
              <w:rPr>
                <w:sz w:val="22"/>
                <w:szCs w:val="22"/>
                <w:lang w:eastAsia="ru-RU"/>
              </w:rPr>
              <w:t>Менее 1,5</w:t>
            </w:r>
          </w:p>
        </w:tc>
      </w:tr>
    </w:tbl>
    <w:p w:rsidR="00107313" w:rsidRPr="00E47E0A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47E0A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E47E0A">
        <w:rPr>
          <w:rFonts w:ascii="Times New Roman" w:hAnsi="Times New Roman" w:cs="Times New Roman"/>
        </w:rPr>
        <w:t>лесовосстановления</w:t>
      </w:r>
      <w:proofErr w:type="spellEnd"/>
      <w:r w:rsidRPr="00E47E0A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E47E0A">
        <w:rPr>
          <w:rFonts w:ascii="Times New Roman" w:hAnsi="Times New Roman" w:cs="Times New Roman"/>
        </w:rPr>
        <w:t>лесовосстановления</w:t>
      </w:r>
      <w:proofErr w:type="spellEnd"/>
      <w:r w:rsidRPr="00E47E0A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E47E0A">
        <w:rPr>
          <w:rFonts w:ascii="Times New Roman" w:hAnsi="Times New Roman" w:cs="Times New Roman"/>
        </w:rPr>
        <w:t>лесовосстановления</w:t>
      </w:r>
      <w:proofErr w:type="spellEnd"/>
      <w:r w:rsidRPr="00E47E0A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E47E0A">
        <w:rPr>
          <w:rFonts w:ascii="Times New Roman" w:hAnsi="Times New Roman" w:cs="Times New Roman"/>
        </w:rPr>
        <w:t>лесовосстановления</w:t>
      </w:r>
      <w:proofErr w:type="spellEnd"/>
      <w:r w:rsidRPr="00E47E0A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E47E0A">
        <w:rPr>
          <w:rFonts w:ascii="Times New Roman" w:hAnsi="Times New Roman" w:cs="Times New Roman"/>
        </w:rPr>
        <w:t>лесовосстановления</w:t>
      </w:r>
      <w:proofErr w:type="spellEnd"/>
      <w:r w:rsidRPr="00E47E0A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 w:rsidRPr="00E47E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F02B3"/>
    <w:rsid w:val="00587F41"/>
    <w:rsid w:val="006B6EB9"/>
    <w:rsid w:val="008D3668"/>
    <w:rsid w:val="008D7568"/>
    <w:rsid w:val="0092017C"/>
    <w:rsid w:val="009626D7"/>
    <w:rsid w:val="00B2581A"/>
    <w:rsid w:val="00DF657E"/>
    <w:rsid w:val="00E47E0A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35F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2023-12-20T03:38:00Z</dcterms:modified>
</cp:coreProperties>
</file>