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3402" w:firstLine="708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Приложение № 4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contextualSpacing/>
        <w:ind w:left="3402" w:firstLine="708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к постановлению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Правительства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contextualSpacing/>
        <w:ind w:left="3402" w:firstLine="708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Новосибирской 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contextualSpacing/>
        <w:ind w:firstLine="708"/>
        <w:jc w:val="right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3458" w:firstLine="708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outlineLvl w:val="1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«Приложение № 18</w:t>
      </w:r>
      <w:r/>
    </w:p>
    <w:p>
      <w:pPr>
        <w:contextualSpacing/>
        <w:ind w:left="3458" w:firstLine="708"/>
        <w:jc w:val="center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left="3458" w:firstLine="708"/>
        <w:jc w:val="center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left="3458" w:firstLine="708"/>
        <w:jc w:val="center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жилищного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left="3458" w:firstLine="708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Новосибирской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contextualSpacing/>
        <w:ind w:firstLine="708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14:ligatures w14:val="none"/>
        </w:rPr>
        <w:outlineLvl w:val="2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предоставления и распределения иных межбюджетных трансфертов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 областного бюджета Новосибирской области местным бюджетам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Новосибирской области на реализацию мероприятий в рамках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Государственная поддержка муниципальных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образований Новосибирской области при строительстве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специализированного жилищного фонда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межбюджетные трансферты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в целях финансирования расходов муниципальных районов и городских округов Новосибирской области, связанных со строительством специализированного жилищного фонда для предоставления отдельным категориям граждан.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Иные межбюджетные трансферты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на следующих условиях: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наличие заключенных муниципальных контрактов (договоров) на работы (услуги), связанные со строительством специализированного жилищного фонда для предоставления отдельным категориям граждан;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наличие справки (акта) о выполненных объемах работ (услуг), связанных со строительством специализированного жилищного фонда для предоставления отдельным категориям граждан (для компенсации).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государственной поддержки за счет средств областного бюджета на компенсацию расходов местных бюджетов, связанных со строительством специализированного жилищного фонда осуществляется на основании подтвержденных расходов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естного бюджета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договоров (контрактов) и актов выполненных работ. Компенсируются расходы, произведенные в текущем финансовом году, и в году, предшествующем году финансирования, если данные расходы связаны со строительством объекта, планируемого в следующем году.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Порядок (методика) распределения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межбюджетных трансфертов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местными бюджетами: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ассигнований областного бюджета определяется как 10 % от объема ассигнований, предусмотренных муниципальному образованию на реализацию </w:t>
      </w:r>
      <w:hyperlink w:tooltip="Подпрограмма" w:anchor="P686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«Строительство (пр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иобретение на первичном рынке) служебного жилья для отдельных категорий граждан, проживающих и работающих на территории Новосибирской области» в части строительства и на осуществление строительства жилых помещений для предоставления гражданам, указанным в </w:t>
      </w:r>
      <w:hyperlink r:id="rId8" w:tooltip="Федеральный закон от 21.12.1996 N 159-ФЗ (ред. от 04.08.2023) &quot;О дополнительных гарантиях по социальной поддержке детей-сирот и детей, оставшихся без попечения родителей&quo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 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Условия расходования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межбюджетных трансфертов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расходование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межбюджетных трансфертов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на финансирование работ (услуг), связанных со строительством специализированного жилищного фонда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отдельным категориям граждан: разработка проектной документации, корректировка проектной документации, инженерно - геодезические изыскания, 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сударственная экспертиза проектной документации;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финансирование производится на основании заключенных органом местного самоуправления договоров (контрактов).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Результатом использования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межбюджетных трансфертов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количество разработанных проектов строительства домов специализированного фонда, получивших положительное заключение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бюджетного учреждения Новосибирской области «Государственная вневедомственная экспертиза Новосибирской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.»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1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66AC2C2EE7D78B44F441F110740E38A22D29D3B6391238E00B67F129F018694A80D0EE50C8CD8A698E69B3A825DD9C4ABC603C4172HA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2023-10-02T03:56:44Z</dcterms:modified>
</cp:coreProperties>
</file>