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10773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ПРИЛОЖЕНИЕ</w:t>
      </w:r>
    </w:p>
    <w:p>
      <w:pPr>
        <w:spacing w:after="0" w:line="240" w:lineRule="auto"/>
        <w:ind w:left="10773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 постановлению Губернатора Новосибирской области</w:t>
      </w:r>
    </w:p>
    <w:tbl>
      <w:tblPr>
        <w:tblW w:w="1616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60"/>
        <w:gridCol w:w="775"/>
        <w:gridCol w:w="1565"/>
        <w:gridCol w:w="1371"/>
        <w:gridCol w:w="1033"/>
        <w:gridCol w:w="987"/>
        <w:gridCol w:w="1214"/>
        <w:gridCol w:w="743"/>
        <w:gridCol w:w="775"/>
        <w:gridCol w:w="977"/>
        <w:gridCol w:w="1650"/>
        <w:gridCol w:w="1011"/>
        <w:gridCol w:w="1162"/>
        <w:gridCol w:w="1087"/>
        <w:gridCol w:w="851"/>
        <w:gridCol w:w="271"/>
        <w:gridCol w:w="328"/>
      </w:tblGrid>
      <w:tr>
        <w:trPr>
          <w:gridAfter w:val="1"/>
          <w:trHeight w:val="300"/>
        </w:trPr>
        <w:tc>
          <w:tcPr>
            <w:tcW w:w="360" w:type="dxa"/>
            <w:tcBorders>
              <w:top w:val="none"/>
              <w:left w:val="none"/>
              <w:right w:val="none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none"/>
              <w:left w:val="none"/>
              <w:right w:val="none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none"/>
              <w:left w:val="none"/>
              <w:right w:val="none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tcBorders>
              <w:top w:val="none"/>
              <w:left w:val="none"/>
              <w:right w:val="none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tcBorders>
              <w:top w:val="none"/>
              <w:left w:val="none"/>
              <w:right w:val="none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one"/>
              <w:left w:val="none"/>
              <w:right w:val="none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none"/>
              <w:left w:val="none"/>
              <w:right w:val="none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one"/>
              <w:left w:val="none"/>
              <w:right w:val="none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none"/>
              <w:left w:val="none"/>
              <w:right w:val="none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none"/>
              <w:left w:val="none"/>
              <w:right w:val="none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one"/>
              <w:left w:val="none"/>
              <w:right w:val="none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one"/>
              <w:left w:val="none"/>
              <w:right w:val="none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none"/>
              <w:left w:val="none"/>
              <w:right w:val="none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one"/>
              <w:left w:val="none"/>
              <w:right w:val="none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one"/>
              <w:left w:val="none"/>
              <w:right w:val="none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dxa"/>
            <w:tcBorders>
              <w:top w:val="none"/>
              <w:left w:val="none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rPr>
          <w:trHeight w:val="4236"/>
        </w:trPr>
        <w:tc>
          <w:tcPr>
            <w:tcW w:w="360" w:type="dxa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</w:t>
            </w:r>
          </w:p>
        </w:tc>
        <w:tc>
          <w:tcPr>
            <w:tcW w:w="775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30.1.853111.1.00159</w:t>
            </w:r>
          </w:p>
        </w:tc>
        <w:tc>
          <w:tcPr>
            <w:tcW w:w="1565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 для лиц с ограниченными возможностями здоровья</w:t>
            </w:r>
          </w:p>
        </w:tc>
        <w:tc>
          <w:tcPr>
            <w:tcW w:w="1371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563c1"/>
                <w:sz w:val="28"/>
                <w:szCs w:val="28"/>
                <w:u w:val="single"/>
                <w:lang w:eastAsia="ru-RU"/>
              </w:rPr>
              <w:t xml:space="preserve">85.31.11.000</w:t>
            </w:r>
          </w:p>
        </w:tc>
        <w:tc>
          <w:tcPr>
            <w:tcW w:w="1033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государственная</w:t>
            </w:r>
          </w:p>
        </w:tc>
        <w:tc>
          <w:tcPr>
            <w:tcW w:w="987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бюджетное</w:t>
            </w:r>
          </w:p>
        </w:tc>
        <w:tc>
          <w:tcPr>
            <w:tcW w:w="1214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подготовитель пищевого сырья и материалов</w:t>
            </w:r>
          </w:p>
        </w:tc>
        <w:tc>
          <w:tcPr>
            <w:tcW w:w="743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очное</w:t>
            </w:r>
          </w:p>
        </w:tc>
        <w:tc>
          <w:tcPr>
            <w:tcW w:w="775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услуга</w:t>
            </w:r>
          </w:p>
        </w:tc>
        <w:tc>
          <w:tcPr>
            <w:tcW w:w="977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бесплатная</w:t>
            </w:r>
          </w:p>
        </w:tc>
        <w:tc>
          <w:tcPr>
            <w:tcW w:w="1650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Закон Новосибирской области от 05.07.2019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361-ОЗ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регулировании отношений в сфере образования в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lang w:eastAsia="ru-RU"/>
              </w:rPr>
              <w:t xml:space="preserve">п. 29 ст. 5 гл. 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lang w:eastAsia="ru-RU"/>
              </w:rPr>
              <w:t xml:space="preserve">п. 8 ст. 7 гл. 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); постановление Правительства Новосибирской области от 10.04.2018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142-п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 определении порядка обеспечения получения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lang w:eastAsia="ru-RU"/>
              </w:rPr>
              <w:t xml:space="preserve">п. 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Порядка обеспечения получения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образования); постановление Правительства Новосибирской области от 12.08.2015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299-п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 утверждении положения о министерстве образования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lang w:eastAsia="ru-RU"/>
              </w:rPr>
              <w:t xml:space="preserve">. 4 п. 8 раздела II)</w:t>
            </w:r>
          </w:p>
        </w:tc>
        <w:tc>
          <w:tcPr>
            <w:tcW w:w="1011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физические лица, ранее не имевшие профессии рабочего или должности служащего</w:t>
            </w:r>
          </w:p>
        </w:tc>
        <w:tc>
          <w:tcPr>
            <w:tcW w:w="1162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число обучающихся (человек)</w:t>
            </w:r>
          </w:p>
        </w:tc>
        <w:tc>
          <w:tcPr>
            <w:tcW w:w="1087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001 Сохранность контингента (процент). 002 Доля обучающихся, прошедших промежуточную аттестацию, в общей численности обучающихся (процент). 003 Доля выпускников, прошедших итоговую аттестацию, в общей численности выпускников (процент). 004 Доля выпускников, трудоустроившихся в течение одного года после окончания обучения по полученной профессии, в общей их численности (процент). 005 Уровень выполнения плана приема обучающихся по программам профессиональной подготовки для лиц с ограниченными возможностями здоровья (процент)</w:t>
            </w:r>
          </w:p>
        </w:tc>
        <w:tc>
          <w:tcPr>
            <w:tcW w:w="851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Новосибирская область</w:t>
            </w:r>
          </w:p>
        </w:tc>
        <w:tc>
          <w:tcPr>
            <w:tcW w:w="599" w:type="dxa"/>
            <w:gridSpan w:val="2"/>
            <w:tcBorders>
              <w:left w:val="single" w:color="auto" w:sz="4" w:space="0"/>
            </w:tcBorders>
            <w:shd w:val="clear" w:color="ffffff" w:fill="ffffff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».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1746</Characters>
  <CharactersWithSpaces>2048</CharactersWithSpaces>
  <Company>PNO</Company>
  <DocSecurity>0</DocSecurity>
  <HyperlinksChanged>false</HyperlinksChanged>
  <Lines>14</Lines>
  <LinksUpToDate>false</LinksUpToDate>
  <Pages>1</Pages>
  <Paragraphs>4</Paragraphs>
  <ScaleCrop>false</ScaleCrop>
  <SharedDoc>false</SharedDoc>
  <Template>Normal.dotm</Template>
  <TotalTime>12</TotalTime>
  <Words>306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Мангер Анастасия Юрьевна</dc:creator>
  <cp:keywords/>
  <dc:description/>
  <cp:lastModifiedBy/>
  <cp:revision>1</cp:revision>
  <dcterms:created xsi:type="dcterms:W3CDTF">2024-07-10T03:55:00Z</dcterms:created>
</cp:coreProperties>
</file>