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left="0" w:right="0" w:firstLine="5954"/>
        <w:jc w:val="center"/>
      </w:pPr>
      <w:r>
        <w:rPr>
          <w:rStyle w:val="850"/>
          <w:b w:val="0"/>
          <w:color w:val="000000"/>
          <w:sz w:val="28"/>
          <w:szCs w:val="28"/>
        </w:rPr>
        <w:t xml:space="preserve">Проект</w:t>
      </w:r>
      <w:r/>
    </w:p>
    <w:p>
      <w:pPr>
        <w:pStyle w:val="839"/>
        <w:ind w:left="0" w:right="0" w:firstLine="5954"/>
        <w:jc w:val="center"/>
      </w:pPr>
      <w:r>
        <w:rPr>
          <w:rStyle w:val="850"/>
          <w:b w:val="0"/>
          <w:color w:val="000000"/>
          <w:sz w:val="28"/>
          <w:szCs w:val="28"/>
        </w:rPr>
        <w:t xml:space="preserve">постановления Правительства</w:t>
      </w:r>
      <w:r/>
    </w:p>
    <w:p>
      <w:pPr>
        <w:pStyle w:val="839"/>
        <w:ind w:left="0" w:right="0" w:firstLine="5954"/>
        <w:jc w:val="center"/>
      </w:pPr>
      <w:r>
        <w:rPr>
          <w:rStyle w:val="850"/>
          <w:b w:val="0"/>
          <w:color w:val="000000"/>
          <w:sz w:val="28"/>
          <w:szCs w:val="28"/>
        </w:rPr>
        <w:t xml:space="preserve">Новосибирской области</w:t>
      </w:r>
      <w:r/>
    </w:p>
    <w:p>
      <w:pPr>
        <w:pStyle w:val="839"/>
        <w:jc w:val="center"/>
      </w:pPr>
      <w:r/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center"/>
        <w:spacing w:before="0" w:after="1" w:line="200" w:lineRule="atLeast"/>
      </w:pPr>
      <w:r>
        <w:rPr>
          <w:color w:val="000000"/>
          <w:sz w:val="28"/>
          <w:szCs w:val="28"/>
        </w:rPr>
        <w:t xml:space="preserve">О внесении изменения в постановление Правительства Новосибирской области </w:t>
      </w:r>
      <w:r/>
    </w:p>
    <w:p>
      <w:pPr>
        <w:pStyle w:val="839"/>
        <w:jc w:val="center"/>
        <w:spacing w:before="0" w:after="1" w:line="200" w:lineRule="atLeast"/>
      </w:pPr>
      <w:r>
        <w:rPr>
          <w:color w:val="000000"/>
          <w:sz w:val="28"/>
          <w:szCs w:val="28"/>
        </w:rPr>
        <w:t xml:space="preserve">от 23.05.2017 № 193-п</w:t>
      </w:r>
      <w:r/>
    </w:p>
    <w:p>
      <w:pPr>
        <w:pStyle w:val="839"/>
        <w:jc w:val="center"/>
        <w:spacing w:before="0"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ind w:left="0" w:right="0"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/>
    </w:p>
    <w:p>
      <w:pPr>
        <w:pStyle w:val="839"/>
        <w:ind w:left="0" w:right="0" w:firstLine="709"/>
        <w:jc w:val="both"/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т:</w:t>
      </w:r>
      <w:r/>
    </w:p>
    <w:p>
      <w:pPr>
        <w:pStyle w:val="839"/>
        <w:ind w:left="0" w:right="0" w:firstLine="709"/>
        <w:jc w:val="both"/>
      </w:pPr>
      <w:r>
        <w:rPr>
          <w:sz w:val="28"/>
          <w:szCs w:val="28"/>
        </w:rPr>
        <w:t xml:space="preserve">Внести в постановление </w:t>
      </w:r>
      <w:r>
        <w:rPr>
          <w:color w:val="000000"/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Новосибирской области от </w:t>
      </w:r>
      <w:r>
        <w:rPr>
          <w:color w:val="000000"/>
          <w:sz w:val="28"/>
          <w:szCs w:val="28"/>
        </w:rPr>
        <w:t xml:space="preserve">23.05.2017 № 193-п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Об условиях и порядке предоставления ежемесячной выплаты гражданам, имеющим ВИЧ-инфицированного ребенка (детей)</w:t>
      </w:r>
      <w:r>
        <w:rPr>
          <w:sz w:val="28"/>
          <w:szCs w:val="28"/>
        </w:rPr>
        <w:t xml:space="preserve">» следующее изменение:</w:t>
      </w:r>
      <w:r/>
    </w:p>
    <w:p>
      <w:pPr>
        <w:pStyle w:val="839"/>
        <w:ind w:left="0" w:right="0" w:firstLine="709"/>
        <w:jc w:val="both"/>
      </w:pPr>
      <w:r>
        <w:rPr>
          <w:rFonts w:eastAsia="Calibri"/>
          <w:sz w:val="28"/>
          <w:szCs w:val="28"/>
        </w:rPr>
        <w:t xml:space="preserve">условия и порядок предоставления ежемесячной выплаты гражданам, имеющим ВИЧ-инфицированного ребенка (детей) изложить в редакции согласно приложению к настоящему постановлению.</w:t>
      </w:r>
      <w:r/>
    </w:p>
    <w:p>
      <w:pPr>
        <w:pStyle w:val="839"/>
        <w:ind w:left="0" w:righ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83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jc w:val="both"/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/>
    </w:p>
    <w:p>
      <w:pPr>
        <w:pStyle w:val="839"/>
        <w:contextualSpacing/>
        <w:spacing w:before="0" w:after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9"/>
        <w:ind w:left="0" w:right="-1" w:firstLine="0"/>
      </w:pPr>
      <w:r>
        <w:rPr>
          <w:rFonts w:eastAsia="Calibri"/>
          <w:sz w:val="20"/>
          <w:szCs w:val="20"/>
        </w:rPr>
        <w:t xml:space="preserve">Е.В. Бахарева</w:t>
      </w:r>
      <w:r/>
    </w:p>
    <w:p>
      <w:pPr>
        <w:pStyle w:val="839"/>
        <w:ind w:left="0" w:right="-1" w:firstLine="0"/>
        <w:rPr>
          <w:rFonts w:eastAsia="Calibri"/>
          <w:sz w:val="20"/>
          <w:szCs w:val="20"/>
          <w:highlight w:val="none"/>
        </w:rPr>
      </w:pPr>
      <w:r>
        <w:rPr>
          <w:rFonts w:eastAsia="Calibri"/>
          <w:sz w:val="20"/>
          <w:szCs w:val="20"/>
        </w:rPr>
        <w:t xml:space="preserve">238 75 10</w:t>
      </w:r>
      <w:r/>
    </w:p>
    <w:p>
      <w:pPr>
        <w:pStyle w:val="839"/>
        <w:ind w:left="5103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ПРИЛОЖЕНИЕ </w:t>
      </w:r>
      <w:r>
        <w:rPr>
          <w:highlight w:val="white"/>
        </w:rPr>
      </w:r>
      <w:r/>
    </w:p>
    <w:p>
      <w:pPr>
        <w:pStyle w:val="839"/>
        <w:ind w:left="5103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 постановлению Правительства Новосибирской области</w:t>
      </w:r>
      <w:r>
        <w:rPr>
          <w:highlight w:val="white"/>
        </w:rPr>
      </w:r>
      <w:r/>
    </w:p>
    <w:p>
      <w:pPr>
        <w:pStyle w:val="839"/>
        <w:ind w:left="5103" w:right="0"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5103" w:right="0"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5245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«Приложение </w:t>
      </w:r>
      <w:r>
        <w:rPr>
          <w:highlight w:val="white"/>
        </w:rPr>
      </w:r>
      <w:r/>
    </w:p>
    <w:p>
      <w:pPr>
        <w:pStyle w:val="839"/>
        <w:ind w:left="5245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 постановлению</w:t>
      </w:r>
      <w:r>
        <w:rPr>
          <w:highlight w:val="white"/>
        </w:rPr>
      </w:r>
      <w:r/>
    </w:p>
    <w:p>
      <w:pPr>
        <w:pStyle w:val="839"/>
        <w:ind w:left="5245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Правительства Новосибирской области от 23.05.2017 № 193-п</w:t>
      </w:r>
      <w:r>
        <w:rPr>
          <w:highlight w:val="white"/>
        </w:rPr>
      </w:r>
      <w:r/>
    </w:p>
    <w:p>
      <w:pPr>
        <w:pStyle w:val="839"/>
        <w:ind w:left="5103" w:right="0"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5103" w:right="0"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sz w:val="28"/>
          <w:szCs w:val="28"/>
          <w:highlight w:val="white"/>
          <w:lang w:eastAsia="ru-RU"/>
        </w:rPr>
        <w:t xml:space="preserve">УСЛОВИЯ И ПОРЯДОК </w:t>
      </w:r>
      <w:r>
        <w:rPr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sz w:val="28"/>
          <w:szCs w:val="28"/>
          <w:highlight w:val="white"/>
          <w:lang w:eastAsia="ru-RU"/>
        </w:rPr>
        <w:t xml:space="preserve">предоставления ежемесячной выплаты гражданам, имеющим </w:t>
      </w:r>
      <w:r>
        <w:rPr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sz w:val="28"/>
          <w:szCs w:val="28"/>
          <w:highlight w:val="white"/>
          <w:lang w:eastAsia="ru-RU"/>
        </w:rPr>
        <w:t xml:space="preserve">ВИЧ-инфицированного ребенка (детей)</w:t>
      </w:r>
      <w:r>
        <w:rPr>
          <w:highlight w:val="white"/>
        </w:rPr>
      </w:r>
      <w:r/>
    </w:p>
    <w:p>
      <w:pPr>
        <w:pStyle w:val="839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1. 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Настоящие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условия и порядок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предоставления ежемесячной выплаты гражданам, имеющим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ВИЧ-инфицированного ребенка (детей)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далее – Порядок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разработан в целях реализации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статьи 4.2 Закона Новосибирской области от 29.12.2004 № 255-ОЗ «О социальной поддержке граждан, имеющих детей».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2. Ежемесячная выплата гражданам, имеющим ВИЧ-инфицированного ребенка (детей) (далее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ежемесячная выплата), предоставляется на каждого </w:t>
        <w:br/>
        <w:t xml:space="preserve">ВИЧ-инфицированного ребенка (далее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ребенок) одному из родителей (опекуно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в, попечителей), единственному родителю (опекуну, попечителю), являющемуся гражданином Российской Федерации, при условии, что он постоянно проживает на территории Новосибирской области совместно с ребенком, до достижения ребенком возраста восемнадцати лет.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3. Предоставление ежемесячной выплаты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государственными казенными учреждениями Новосибирской области – центрами социальной поддержки населения, подведомственными министерству труда и социального развития Новосибирской области, либо их клиентскими службами (далее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центр социальной поддержки населения)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 месту жительства одного из родителей (опекунов, попечителей), единственного родителя (опекуна, попечителя) ребенка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беззаявительном порядке в том случае, если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указанные лица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при установлении ребенку диагноза ВИЧ-инфекции в государственной медицинской организации Новосибирской области представили указанной организации согласие на обработку и пере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дачу персональных данных министерству труда и социального развития Новосибирской области (далее – министерство) в целях получения мер социальной поддержки (далее – согласие на передачу персональных данных)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4. Ежемесячная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выплата в беззаявительном порядке предоставляется на основании информации, полученной министерством в рамках межведомственного информационного взаимодействия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министерством здравоохранения Новосибирской области, представляемой на основании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заключаемого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соглашения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между министерством 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министерством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(далее – информация).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5. Информация направляется министерством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Новосибирской области в министерство ежемесячно,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государственную медицинскую организацию Новосибирской области согласие на передачу персональных данных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 Основанием для отказа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является: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отсутствие права на получение ежемесячной выплаты в соответствии с действующим законодательством;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 нахождение ребенка на полном государственном обеспечении;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 лишение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родительских прав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родителя ребенка,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которого предоставляется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жемесячная выплата (если ежемесячная выплата предоставляется родителю ребенка)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7. 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случае подачи заявления 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 дополнение к основаниям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для отказа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уствновленным пунктом 6 Порядка,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непредставление или представление не в полном объеме документов, указанных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пункте 11 Порядка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наличие в представленных документах по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вреждений, исправлений, не позволяющих однозначно истолковать их содержание.</w:t>
      </w:r>
      <w:r>
        <w:rPr>
          <w:rFonts w:ascii="Times New Roman" w:hAnsi="Times New Roman" w:cs="Times New Roman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8. 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предоставлении ежемесячной выплаты в беззаявительном порядке ц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ентр социальной поддержки населения осуществляет следующие действия: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в течение десяти рабочих дней со дня поступления информации в министерство: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а) в рамках межведомственного взаимодействия запрашивает следующие сведения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рождении ребенка (за исключением сведений о регистрации акта гражданского состояния, выданного компетентным органом иностранного государства);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регистрации по месту жительства или месту пребывания заявителя и ребенка (для подтверждения информации о совместном проживании ребенка с заявителем);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tabs>
          <w:tab w:val="left" w:pos="1418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документе, подтверждающем регистрацию в системе индивидуального (персонифицированного) учета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одного из родителей (опекунов, попечителей) либо единственного родителя (опекуна, попечителя) ребенка, представившего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государственную медицинскую организацию Новосибирской области согласие на передачу персональных данны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 установлении опеки (попечительства) над ребенком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для предоставления ежемесячной выплаты на ребенка, находящегося под опекой (попечительством);</w:t>
      </w:r>
      <w:r>
        <w:rPr>
          <w:highlight w:val="white"/>
        </w:rPr>
      </w:r>
      <w:r/>
    </w:p>
    <w:p>
      <w:pPr>
        <w:pStyle w:val="1_65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б) проверяет наличие информации:</w:t>
      </w:r>
      <w:r>
        <w:rPr>
          <w:highlight w:val="white"/>
        </w:rPr>
      </w:r>
      <w:r/>
    </w:p>
    <w:p>
      <w:pPr>
        <w:pStyle w:val="1_65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нахождении ребенка на полном государственном обеспечении;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лишении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родительских прав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родителя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ребенка,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которого предоставляется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жемесячная выплата (если ежемесячная выплата предоставляется родителю ребенка)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/>
    </w:p>
    <w:p>
      <w:pPr>
        <w:pStyle w:val="1_65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в) в случае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отсутствия оснований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для отказа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установленных пунктом 6 Порядка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принимает 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одному из родителей (опекунов, попечителей) либо единственному родителю (опекуну, п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опечителю) ребенка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представившему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согласие на передачу персональных данных 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получающему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через 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иные меры социальной поддержки (далее – получатель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в течение пяти рабочих дней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уведомляет о принятии решения получателя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3) на основании принятых решений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не позднее 20 числа каждого месяца формирует и направляет в министерство заявку на финансирование расходов, связанных с предоставлением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1_65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Один из родителей (опекунов, попечителей) либо единственный родитель (опекун, попечитель) ребенка, не представивший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государственную медицинскую организацию Новосибирской области согласие на передачу персональных данных (далее – заявитель),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вправе обратиться в центр социальной поддержки населения с заявлением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платы (далее – заявление). </w:t>
      </w:r>
      <w:r>
        <w:rPr>
          <w:highlight w:val="white"/>
        </w:rPr>
      </w:r>
      <w:r/>
    </w:p>
    <w:p>
      <w:pPr>
        <w:pStyle w:val="1_65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. 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Заявле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lang w:eastAsia="ru-RU"/>
        </w:rPr>
        <w:t xml:space="preserve">ние по форме, утверждаемой министерством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подается заявителем или его уполномоченным представителем одним из следующих способов: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лично при обращении в центр социальной поддержки населения или в многофункциональный центр предоставления государственных и муниципальных услуг;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посредством почтовой связи способом, позволяющим подтвердить факт и дату отправления.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ри подаче заявления заявителем или его уполномоченным представителем в центр социальной поддержки населения лично либо через многофункциональный центр предоставления государственных и муниципальных услуг предъявляется документ, удостоверяющий его личность.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обращения уполномоченного представителя дополнительно представляется документ, подтверждающий его полномочия.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 Одновременно с заявлением заявителем (его уполномоченным представителем) представляются: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 документ о государственной регистрации акта гражданского состояния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 рождении ребенка,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выданный компетентным органом иностранного государства, и его нотариально удостоверенный перевод на русский язык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решение суда об установлении юридического факта проживания заявителя 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ребенка по определенному адресу (для подтверждения информации о совместном проживании ребенка с заявителем);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3) копию справки, выданной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государственной медицинской организацией, о наличии у ребенка ВИЧ-инфекции.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представлении одновременно с заявлением копий документов, указанных в настоящем пункте, не заверенных в установленном законодательством Ро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ссийской Федерации порядке, представляются и их подлинники. В таком случае копии документов заверяются специалистом центра социальной поддержки населения (в случае подачи заявления в центр социальной поддержки населения) или специалистом многофункционально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го центра предоставления государственных и муниципальных услуг (в случае подачи заявления в многофункциональный центр предоставления государственных и муниципальных услуг), а подлинники документов возвращаются заявителю (его уполномоченному представителю).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направления заявления посредством почтовой связи к нему прилагаются копии документов, указанных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настоящем пункте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верность которых заверена в установленном законодательством Российской Федерации порядке.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12. 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случае подачи заявителем (его уполномоченным представителем)  заявления ц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ентр социальной поддержки населения осуществляет следующие действия: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принимает и регистрирует заявление в день его поступления в центр социальной поддержки населения;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течение десяти рабочих дней со дня поступления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а) в рамках межведомственного взаимодействия запрашивает следующие сведения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рождении ребенка (за исключением сведений о регистрации акта гражданского состояния, выданного компетентным органом иностранного государства);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регистрации по месту жительства или месту пребывания заявителя и ребенка (для подтверждения информации о совместном проживании ребенка с заявителем);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tabs>
          <w:tab w:val="left" w:pos="1418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документе, подтверждающем регистрацию в системе индивидуального (персонифицированного) учета заявителя;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 установлении опеки (попечительства) над ребенком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для предоставления ежемесячной выплаты на ребенка, находящегося под опекой (попечительством);</w:t>
      </w:r>
      <w:r>
        <w:rPr>
          <w:highlight w:val="white"/>
        </w:rPr>
      </w:r>
      <w:r/>
    </w:p>
    <w:p>
      <w:pPr>
        <w:pStyle w:val="1_65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б) проверяет наличие информации: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_655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нахождении ребенка на полном государственном обеспечении;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лишении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родительских прав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родителя ребенка, подавшего заявление в отношении 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этого ребенка;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3) принимает решение о предоставлении или об отказе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4) на основании принятых решений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ежемесячно, не позднее 20 числа, формирует и направляет в министерство заявку на финансирование расходов, связанных с предоставлением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5) в течение пяти рабочих дней со дня принятия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решения о предоставлении или об отказе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уведомляет заявителя (его уполномоченного представителя) о принятии такого решения в письменной форме или посредством телефонной связи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уведомлении об отказе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указываются причины отказа и порядок его обжалования.</w:t>
      </w:r>
      <w:r>
        <w:rPr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Отказ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не является препятствием для повторного обращения за предоставлением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ежемесячной выплаты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условии устранения причины, послужившей основанием для отказа.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Еж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емесячная выплата предоставляется с месяца установления ребенку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диагноза ВИЧ-инфекции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если обращение последовало в течение шести месяцев со дня возникновения права. При обращении за ежемесячной выплатой по истечении шести месяцев ежемесячная выплата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азначается за истекшее время, но не более чем за шесть месяцев до месяца, в котором заявление было подано в центр социальной поддержки.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Получатель ежемесячной выплаты и заявитель, в отношении которого принято 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ежемесячной выплаты,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обязаны извещать центр социальной поддержки о наступлении обстоятельств, влекущих прекращение ее выплаты, не позднее чем в месячный срок со дня наступления таких обстоятельств.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15. Информация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ежемесячной выплаты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размещается в Единой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17.07.1999 № 178-ФЗ «О государственной социальной помощи».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39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-1" w:firstLine="0"/>
      </w:pPr>
      <w:r>
        <w:rPr>
          <w:rFonts w:eastAsia="Calibri"/>
          <w:sz w:val="20"/>
          <w:szCs w:val="20"/>
          <w:highlight w:val="none"/>
        </w:rPr>
      </w:r>
      <w:r>
        <w:rPr>
          <w:rFonts w:eastAsia="Calibri"/>
          <w:sz w:val="20"/>
          <w:szCs w:val="20"/>
          <w:highlight w:val="none"/>
        </w:rPr>
      </w:r>
    </w:p>
    <w:sectPr>
      <w:headerReference w:type="default" r:id="rId8"/>
      <w:headerReference w:type="first" r:id="rId9"/>
      <w:footnotePr>
        <w:numRestart w:val="continuous"/>
      </w:footnotePr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9"/>
    <w:next w:val="839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9"/>
    <w:next w:val="839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9"/>
    <w:next w:val="839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9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9"/>
    <w:next w:val="839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9"/>
    <w:next w:val="839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9"/>
    <w:next w:val="839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9"/>
    <w:next w:val="839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9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9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9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9"/>
    <w:next w:val="839"/>
    <w:uiPriority w:val="99"/>
    <w:unhideWhenUsed/>
    <w:pPr>
      <w:spacing w:after="0" w:afterAutospacing="0"/>
    </w:pPr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9" w:default="1">
    <w:name w:val="Normal"/>
    <w:next w:val="839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40">
    <w:name w:val="WW8Num1z0"/>
    <w:next w:val="840"/>
    <w:link w:val="839"/>
  </w:style>
  <w:style w:type="character" w:styleId="841">
    <w:name w:val="WW8Num1z1"/>
    <w:next w:val="841"/>
    <w:link w:val="839"/>
  </w:style>
  <w:style w:type="character" w:styleId="842">
    <w:name w:val="WW8Num1z2"/>
    <w:next w:val="842"/>
    <w:link w:val="839"/>
  </w:style>
  <w:style w:type="character" w:styleId="843">
    <w:name w:val="WW8Num1z3"/>
    <w:next w:val="843"/>
    <w:link w:val="839"/>
  </w:style>
  <w:style w:type="character" w:styleId="844">
    <w:name w:val="WW8Num1z4"/>
    <w:next w:val="844"/>
    <w:link w:val="839"/>
  </w:style>
  <w:style w:type="character" w:styleId="845">
    <w:name w:val="WW8Num1z5"/>
    <w:next w:val="845"/>
    <w:link w:val="839"/>
  </w:style>
  <w:style w:type="character" w:styleId="846">
    <w:name w:val="WW8Num1z6"/>
    <w:next w:val="846"/>
    <w:link w:val="839"/>
  </w:style>
  <w:style w:type="character" w:styleId="847">
    <w:name w:val="WW8Num1z7"/>
    <w:next w:val="847"/>
    <w:link w:val="839"/>
  </w:style>
  <w:style w:type="character" w:styleId="848">
    <w:name w:val="WW8Num1z8"/>
    <w:next w:val="848"/>
    <w:link w:val="839"/>
  </w:style>
  <w:style w:type="character" w:styleId="849">
    <w:name w:val="Основной шрифт абзаца"/>
    <w:next w:val="849"/>
    <w:link w:val="839"/>
  </w:style>
  <w:style w:type="character" w:styleId="850">
    <w:name w:val="Выделение жирным"/>
    <w:next w:val="850"/>
    <w:link w:val="839"/>
    <w:rPr>
      <w:b/>
      <w:bCs/>
    </w:rPr>
  </w:style>
  <w:style w:type="character" w:styleId="851">
    <w:name w:val="Верхний колонтитул Знак"/>
    <w:next w:val="851"/>
    <w:link w:val="839"/>
    <w:rPr>
      <w:rFonts w:ascii="Times New Roman" w:hAnsi="Times New Roman" w:eastAsia="Times New Roman" w:cs="Times New Roman"/>
      <w:sz w:val="24"/>
      <w:szCs w:val="24"/>
    </w:rPr>
  </w:style>
  <w:style w:type="character" w:styleId="852">
    <w:name w:val="Нижний колонтитул Знак"/>
    <w:next w:val="852"/>
    <w:link w:val="839"/>
    <w:rPr>
      <w:rFonts w:ascii="Times New Roman" w:hAnsi="Times New Roman" w:eastAsia="Times New Roman" w:cs="Times New Roman"/>
      <w:sz w:val="24"/>
      <w:szCs w:val="24"/>
    </w:rPr>
  </w:style>
  <w:style w:type="character" w:styleId="853">
    <w:name w:val="Текст выноски Знак"/>
    <w:next w:val="853"/>
    <w:link w:val="839"/>
    <w:rPr>
      <w:rFonts w:ascii="Tahoma" w:hAnsi="Tahoma" w:eastAsia="Times New Roman" w:cs="Tahoma"/>
      <w:sz w:val="16"/>
      <w:szCs w:val="16"/>
    </w:rPr>
  </w:style>
  <w:style w:type="character" w:styleId="854">
    <w:name w:val="Знак примечания"/>
    <w:next w:val="854"/>
    <w:link w:val="839"/>
    <w:rPr>
      <w:sz w:val="16"/>
      <w:szCs w:val="16"/>
    </w:rPr>
  </w:style>
  <w:style w:type="character" w:styleId="855">
    <w:name w:val="Текст примечания Знак"/>
    <w:next w:val="855"/>
    <w:link w:val="839"/>
    <w:rPr>
      <w:rFonts w:ascii="Times New Roman" w:hAnsi="Times New Roman" w:eastAsia="Times New Roman" w:cs="Times New Roman"/>
    </w:rPr>
  </w:style>
  <w:style w:type="character" w:styleId="856">
    <w:name w:val="Тема примечания Знак"/>
    <w:next w:val="856"/>
    <w:link w:val="839"/>
    <w:rPr>
      <w:rFonts w:ascii="Times New Roman" w:hAnsi="Times New Roman" w:eastAsia="Times New Roman" w:cs="Times New Roman"/>
      <w:b/>
      <w:bCs/>
    </w:rPr>
  </w:style>
  <w:style w:type="character" w:styleId="857">
    <w:name w:val="Интернет-ссылка"/>
    <w:next w:val="857"/>
    <w:link w:val="839"/>
    <w:rPr>
      <w:color w:val="000080"/>
      <w:u w:val="single"/>
      <w:lang w:val="en-US" w:eastAsia="en-US" w:bidi="en-US"/>
    </w:rPr>
  </w:style>
  <w:style w:type="paragraph" w:styleId="858">
    <w:name w:val="Заголовок"/>
    <w:basedOn w:val="839"/>
    <w:next w:val="859"/>
    <w:link w:val="839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59">
    <w:name w:val="Основной текст"/>
    <w:basedOn w:val="839"/>
    <w:next w:val="859"/>
    <w:link w:val="839"/>
    <w:pPr>
      <w:spacing w:before="0" w:after="140" w:line="276" w:lineRule="auto"/>
    </w:pPr>
  </w:style>
  <w:style w:type="paragraph" w:styleId="860">
    <w:name w:val="Список"/>
    <w:basedOn w:val="859"/>
    <w:next w:val="860"/>
    <w:link w:val="839"/>
    <w:rPr>
      <w:rFonts w:cs="Droid Sans Devanagari"/>
    </w:rPr>
  </w:style>
  <w:style w:type="paragraph" w:styleId="861">
    <w:name w:val="Название"/>
    <w:basedOn w:val="839"/>
    <w:next w:val="861"/>
    <w:link w:val="839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2">
    <w:name w:val="Указатель"/>
    <w:basedOn w:val="839"/>
    <w:next w:val="862"/>
    <w:link w:val="839"/>
    <w:pPr>
      <w:suppressLineNumbers/>
    </w:pPr>
    <w:rPr>
      <w:rFonts w:cs="Droid Sans Devanagari"/>
    </w:rPr>
  </w:style>
  <w:style w:type="paragraph" w:styleId="863">
    <w:name w:val="ConsPlusNormal"/>
    <w:next w:val="863"/>
    <w:link w:val="839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864">
    <w:name w:val="Верхний и нижний колонтитулы"/>
    <w:basedOn w:val="839"/>
    <w:next w:val="864"/>
    <w:link w:val="839"/>
    <w:pPr>
      <w:tabs>
        <w:tab w:val="center" w:pos="4819" w:leader="none"/>
        <w:tab w:val="right" w:pos="9638" w:leader="none"/>
      </w:tabs>
      <w:suppressLineNumbers/>
    </w:pPr>
  </w:style>
  <w:style w:type="paragraph" w:styleId="865">
    <w:name w:val="Верхний колонтитул"/>
    <w:basedOn w:val="839"/>
    <w:next w:val="865"/>
    <w:link w:val="839"/>
  </w:style>
  <w:style w:type="paragraph" w:styleId="866">
    <w:name w:val="Нижний колонтитул"/>
    <w:basedOn w:val="839"/>
    <w:next w:val="866"/>
    <w:link w:val="839"/>
  </w:style>
  <w:style w:type="paragraph" w:styleId="867">
    <w:name w:val="Текст выноски"/>
    <w:basedOn w:val="839"/>
    <w:next w:val="867"/>
    <w:link w:val="839"/>
    <w:rPr>
      <w:rFonts w:ascii="Tahoma" w:hAnsi="Tahoma" w:cs="Tahoma"/>
      <w:sz w:val="16"/>
      <w:szCs w:val="16"/>
    </w:rPr>
  </w:style>
  <w:style w:type="paragraph" w:styleId="868">
    <w:name w:val="Абзац списка"/>
    <w:basedOn w:val="839"/>
    <w:next w:val="868"/>
    <w:link w:val="839"/>
    <w:pPr>
      <w:contextualSpacing/>
      <w:ind w:left="720" w:right="0" w:firstLine="0"/>
      <w:spacing w:before="0" w:after="0"/>
    </w:pPr>
  </w:style>
  <w:style w:type="paragraph" w:styleId="869">
    <w:name w:val="Текст примечания"/>
    <w:basedOn w:val="839"/>
    <w:next w:val="869"/>
    <w:link w:val="839"/>
    <w:rPr>
      <w:sz w:val="20"/>
      <w:szCs w:val="20"/>
    </w:rPr>
  </w:style>
  <w:style w:type="paragraph" w:styleId="870">
    <w:name w:val="Тема примечания"/>
    <w:basedOn w:val="869"/>
    <w:next w:val="869"/>
    <w:link w:val="839"/>
    <w:rPr>
      <w:b/>
      <w:bCs/>
    </w:rPr>
  </w:style>
  <w:style w:type="paragraph" w:styleId="871">
    <w:name w:val="Содержимое таблицы"/>
    <w:basedOn w:val="839"/>
    <w:next w:val="871"/>
    <w:link w:val="839"/>
    <w:pPr>
      <w:suppressLineNumbers/>
    </w:pPr>
  </w:style>
  <w:style w:type="paragraph" w:styleId="872">
    <w:name w:val="Заголовок таблицы"/>
    <w:basedOn w:val="871"/>
    <w:next w:val="872"/>
    <w:link w:val="839"/>
    <w:pPr>
      <w:jc w:val="center"/>
      <w:suppressLineNumbers/>
    </w:pPr>
    <w:rPr>
      <w:b/>
      <w:b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paragraph" w:styleId="1_655" w:customStyle="1">
    <w:name w:val="Без интервала"/>
    <w:next w:val="860"/>
    <w:link w:val="8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revision>9</cp:revision>
  <dcterms:created xsi:type="dcterms:W3CDTF">2023-06-29T08:07:00Z</dcterms:created>
  <dcterms:modified xsi:type="dcterms:W3CDTF">2023-07-20T05:32:28Z</dcterms:modified>
</cp:coreProperties>
</file>