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9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sz w:val="2"/>
          <w:szCs w:val="2"/>
          <w:lang w:val="ru-RU" w:bidi="ru-RU"/>
        </w:rPr>
      </w:pPr>
      <w:r>
        <w:rPr>
          <w:rFonts w:ascii="Calibri" w:hAnsi="Calibri" w:eastAsia="Calibri" w:cs="Calibri"/>
          <w:sz w:val="2"/>
          <w:szCs w:val="2"/>
          <w:lang w:val="ru-RU" w:bidi="ru-RU"/>
        </w:rPr>
        <w:t xml:space="preserve">нсо</w:t>
      </w:r>
      <w:r>
        <w:rPr>
          <w:rFonts w:ascii="Calibri" w:hAnsi="Calibri" w:eastAsia="Calibri" w:cs="Calibri"/>
          <w:sz w:val="2"/>
          <w:szCs w:val="2"/>
          <w:lang w:val="ru-RU" w:bidi="ru-RU"/>
        </w:rPr>
        <w:tab/>
      </w:r>
    </w:p>
    <w:p>
      <w:pPr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</w:t>
      </w:r>
    </w:p>
    <w:p>
      <w:pPr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постановлению Правительства Новосибирской области</w:t>
      </w:r>
    </w:p>
    <w:p>
      <w:pPr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«ПРИЛОЖЕНИЕ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</w:t>
      </w:r>
    </w:p>
    <w:p>
      <w:pPr>
        <w:pStyle w:val="Style_19"/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государственной программе Новосибирской области</w:t>
      </w:r>
    </w:p>
    <w:p>
      <w:pPr>
        <w:pStyle w:val="Style_19"/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«Социальная поддержка в</w:t>
      </w:r>
    </w:p>
    <w:p>
      <w:pPr>
        <w:pStyle w:val="Style_19"/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Новосибирской области»</w:t>
      </w:r>
    </w:p>
    <w:p>
      <w:pPr>
        <w:pStyle w:val="Style_19"/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19"/>
        <w:tabs>
          <w:tab w:val="left" w:pos="10490"/>
        </w:tabs>
        <w:spacing w:before="0" w:after="0" w:line="240" w:lineRule="auto"/>
        <w:ind w:left="1049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19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ЦЕЛИ, ЗАДАЧИ И ЦЕЛЕВЫЕ ИНДИКАТОРЫ</w:t>
      </w:r>
    </w:p>
    <w:p>
      <w:pPr>
        <w:pStyle w:val="Style_19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государственной программы Новосибирской области</w:t>
      </w:r>
    </w:p>
    <w:p>
      <w:pPr>
        <w:pStyle w:val="Style_19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«Социальная поддержка в Новосибирской области»</w:t>
      </w:r>
    </w:p>
    <w:p>
      <w:pPr>
        <w:pStyle w:val="Style_19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19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tbl>
      <w:tblPr>
        <w:tblStyle w:val="Style_11"/>
        <w:tblW w:w="15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84"/>
        <w:gridCol w:w="2435"/>
        <w:gridCol w:w="1417"/>
        <w:gridCol w:w="992"/>
        <w:gridCol w:w="993"/>
        <w:gridCol w:w="993"/>
        <w:gridCol w:w="993"/>
        <w:gridCol w:w="992"/>
        <w:gridCol w:w="990"/>
        <w:gridCol w:w="992"/>
        <w:gridCol w:w="992"/>
        <w:gridCol w:w="1562"/>
      </w:tblGrid>
      <w:tr>
        <w:trPr>
          <w:trHeight w:val="2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Цель/задачи, требующие решения для достижения цели</w:t>
            </w:r>
          </w:p>
        </w:tc>
        <w:tc>
          <w:tcPr>
            <w:tcW w:w="2435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Наименование</w:t>
            </w:r>
          </w:p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Ед.</w:t>
            </w:r>
          </w:p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измерения</w:t>
            </w:r>
          </w:p>
        </w:tc>
        <w:tc>
          <w:tcPr>
            <w:tcW w:w="7937" w:type="dxa"/>
            <w:gridSpan w:val="8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Значение целевого индикатора</w:t>
            </w:r>
          </w:p>
        </w:tc>
        <w:tc>
          <w:tcPr>
            <w:tcW w:w="1562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Примечание</w:t>
            </w: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417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7937" w:type="dxa"/>
            <w:gridSpan w:val="8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 том числе по годам</w:t>
            </w:r>
          </w:p>
        </w:tc>
        <w:tc>
          <w:tcPr>
            <w:tcW w:w="1562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417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2021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2024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2026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2027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2028</w:t>
            </w:r>
          </w:p>
        </w:tc>
        <w:tc>
          <w:tcPr>
            <w:tcW w:w="1562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</w:t>
            </w:r>
          </w:p>
        </w:tc>
      </w:tr>
      <w:tr>
        <w:trPr>
          <w:trHeight w:val="2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Цель государственной программы. Улучшение качества жизни получателей мер социальной поддержки, повышение доступности и качества социального обслуживания населения Новосибирской области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Степень обеспеченности выплатами граждан, имеющих право на меры социальной поддержки, из числа обратившихся за предоставлением мер социальной поддержки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32,0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34,0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35,0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36,0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37,0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граждан, воспользовавшихся налоговой льготой по транспортному налогу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128 557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863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92 034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92 034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92 034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92 034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92 034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92 034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036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 1 государственной программы. Создание благоприятных условий для улучшения положения детей и семей с детьми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35,8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45,06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43,76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43,85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43,85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45,42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45,51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45,6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en-US"/>
              </w:rPr>
            </w:pPr>
          </w:p>
        </w:tc>
      </w:tr>
      <w:tr>
        <w:trPr>
          <w:trHeight w:val="3036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семей с детьми, испытывающих трудности в социальной адаптации, в общей численности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24,0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23,5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23,0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22,5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22,0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21,5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21,0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en-US"/>
              </w:rPr>
            </w:pPr>
          </w:p>
        </w:tc>
      </w:tr>
      <w:tr>
        <w:trPr>
          <w:trHeight w:val="3036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7.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Доля многодетных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ru-RU" w:bidi="en-US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8.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Доля граждан,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жилых помещениях, право на обеспечение жилыми помещениями у которых уже возникло и не реализовано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15,6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18,6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15,3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15,5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17,9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18,2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18,6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 2 государственной программы. 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также граждан, находящихся в трудной жизненной ситуации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Соотношение средней заработной платы социальных работников и средней заработной платы в Новосибирской области*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102,0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3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Средняя численность получателей услуг на одного социального работника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10,5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15735" w:type="dxa"/>
            <w:gridSpan w:val="12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Подпрограмма 1. Семья и дети</w:t>
            </w:r>
          </w:p>
        </w:tc>
      </w:tr>
      <w:tr>
        <w:trPr>
          <w:trHeight w:val="20"/>
        </w:trPr>
        <w:tc>
          <w:tcPr>
            <w:tcW w:w="2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Цель подпрограммы.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484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 подпрограммы.</w:t>
            </w:r>
          </w:p>
          <w:p>
            <w:pPr>
              <w:pStyle w:val="Style_3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Развитие системы государственной поддержки семей с детьми, в том числе детей-инвалидов, детей-сирот и детей, оставшихся без попечения родителей, социального обслуживания и социального сопровождения детей и семей с детьми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семей с 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семья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2 206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2 201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2 196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2 191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2 186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2 181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2 176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2 171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3036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12.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Доля детей-инвалидов, получивших социальные и реабилитационные услуги, в общем количестве детей-инвалидов, проживающих в Новосибирской области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87,35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87,45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87,55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87,6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87,65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получатель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20 862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20 862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12 612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7 619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2 648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Целевой индикатор исключен с 01.01.2026</w:t>
            </w: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Число детей в возрасте от 3 до 7 лет включительно, в отношении которых в отчетном году произведена ежемесячная выплата в целях повышения доходов семей с детьми**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98 112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91 454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32 704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Целевой индикатор исключен с 01.01.2025</w:t>
            </w: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детей в возрасте от 3 до 7 лет включительно, в отношении которых в отчетном году произведена ежемесячная выплата, в общей численности детей этого возраста**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63,57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49,9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19,6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Целевой индикатор исключен с 01.01.2025</w:t>
            </w: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детей-сирот и детей, оставшихся без попечения родителей, устроенных в семьи, в общей численности детей этой категории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92,6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92,40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93,1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93,12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93,12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93,12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93,12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93,12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en-US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граждан, не обеспеченных жилыми помещениями в соответствии с Федеральным законом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21.12.1996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ФЗ «О дополнительных гарантиях по социальной поддержке детей-сирот и детей, оставшихся без попечения родителей», на конец календарного года 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5 249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5 500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5 398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5 298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5 198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5 098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4 998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4 898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 w:bidi="ru-RU"/>
              </w:rPr>
              <w:t xml:space="preserve">специализированного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жилищного фонда по договорам найма специализированных жилых помещений в отчетном году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507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817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1 003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828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820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928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928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928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 w:bidi="ru-RU"/>
              </w:rPr>
              <w:t xml:space="preserve">специализированного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(нарастающим итогом)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1 766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1 966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2 100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2 218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2 332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2 532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2 732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2 932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20. 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тыс. семей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0,323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0,441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0,555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Базовое значение – 2022 год</w:t>
            </w: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21.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  <w:lang w:val="ru-RU" w:bidi="ru-RU"/>
              </w:rPr>
              <w:t xml:space="preserve">несовершеннолетних,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 прошедших курс реабилитации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3,1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 2 подпрограммы. Обеспечение потребности детей в отдыхе и оздоровлении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60,33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60,43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60,54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60,65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60,76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60,87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60,98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организаций отдыха детей и их оздоровления,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которых проведены работы по реконструкции, капитальному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текущему ремонту (ежегодно) 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44,4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39,4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10,6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16,9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15735" w:type="dxa"/>
            <w:gridSpan w:val="12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Подпрограмма 2. Старшее поколение</w:t>
            </w:r>
          </w:p>
        </w:tc>
      </w:tr>
      <w:tr>
        <w:trPr>
          <w:trHeight w:val="20"/>
        </w:trPr>
        <w:tc>
          <w:tcPr>
            <w:tcW w:w="2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3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Цель подпрограммы. Формирование условий для реализации мероприятий, направленных на укрепление социальной защищенности граждан пожилого возраста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76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30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 подпрограммы.</w:t>
            </w: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Выполнение обязательств по социальной поддержке граждан пожилого возраста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граждан пожилого возраста, вовлеченных в мероприятия по поддержанию их социальной активности и адаптации (ежегодно)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человек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45 720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30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граждан пожилого возраста и инвалидов, обслуживаемых на дому, в общей численности граждан, состоящих на учете на получение надомного обслуживания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30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 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9,2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11,9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12,5</w:t>
            </w:r>
          </w:p>
        </w:tc>
        <w:tc>
          <w:tcPr>
            <w:tcW w:w="1562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РП. Значения показателя на период 2022–2024 годов указаны в соответствии с паспортом регионального проекта «Старшее поколение»</w:t>
            </w: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30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 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14,51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14,52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14,52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14,52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14,52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14,52</w:t>
            </w:r>
          </w:p>
        </w:tc>
        <w:tc>
          <w:tcPr>
            <w:tcW w:w="1562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15735" w:type="dxa"/>
            <w:gridSpan w:val="12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Подпрограмма 3. Доступная среда</w:t>
            </w:r>
          </w:p>
        </w:tc>
      </w:tr>
      <w:tr>
        <w:trPr>
          <w:trHeight w:val="20"/>
        </w:trPr>
        <w:tc>
          <w:tcPr>
            <w:tcW w:w="2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Цель подпрограммы. Повышение уровня обеспеченности инвалидов равными правами и возможностями с другими гражданами, а также толерантного отношения к ним в обществе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53,0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53,5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54,0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54,5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55,0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55,5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56,0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56,5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 подпрограммы.</w:t>
            </w: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области***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69,5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67,8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69,8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70,2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tabs>
                <w:tab w:val="left" w:pos="426"/>
                <w:tab w:val="left" w:pos="1134"/>
              </w:tabs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70,7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75,3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77,2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79,1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приоритетных объектов, доступных для инвалидов и других маломобильных групп населения, в общем количестве приоритетных объектов в сфере социальной защиты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97,3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97,3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97,3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97,3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100,0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 2 подпрограммы. Формирование условий для развития системы комплексной реабилитации инвалидов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организациях****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78,8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79,8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55,06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58,1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58,1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32. 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(взрослые)***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33. 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(дети)***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-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15735" w:type="dxa"/>
            <w:gridSpan w:val="12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</w:pP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Подпрограмма 4.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lang w:val="ru-RU" w:bidi="ru-RU"/>
              </w:rPr>
              <w:t xml:space="preserve">Адресная поддержка отдельных категорий граждан</w:t>
            </w:r>
          </w:p>
        </w:tc>
      </w:tr>
      <w:tr>
        <w:trPr>
          <w:trHeight w:val="20"/>
        </w:trPr>
        <w:tc>
          <w:tcPr>
            <w:tcW w:w="238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Цель подпрограммы. Улучшение социального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Задача подпрограммы. Обеспечение мер социальной поддержки отдельных категорий граждан с приоритетом адресности</w:t>
            </w: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Объем просроченной задолженности по предоставлению социальных выплат отдельным категориям граждан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тыс. руб.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0,0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Количество оказанной адресной социальной помощи малоимущим гражданам и гражданам, оказавшимся в трудной жизненной ситуации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выплата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17 307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14 187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12 232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12 075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11 931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11 931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11 931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11 931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8,5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5,7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4,4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4,6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4,6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4,6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4,6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контракта**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45,5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49,1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52,7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57,5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58,7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58,7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58,7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58,7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20"/>
        </w:trPr>
        <w:tc>
          <w:tcPr>
            <w:tcW w:w="2384" w:type="dxa"/>
            <w:vMerge w:val="continue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контракта** 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%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fill="ffffff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8,94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18,3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21,8</w:t>
            </w:r>
          </w:p>
        </w:tc>
        <w:tc>
          <w:tcPr>
            <w:tcW w:w="99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25,3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26,5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26,5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26,5</w:t>
            </w:r>
          </w:p>
        </w:tc>
        <w:tc>
          <w:tcPr>
            <w:tcW w:w="99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26,5</w:t>
            </w:r>
          </w:p>
        </w:tc>
        <w:tc>
          <w:tcPr>
            <w:tcW w:w="156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9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</w:pPr>
          </w:p>
        </w:tc>
      </w:tr>
    </w:tbl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38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* Начиная с итогов 2015 года 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11.07.2015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698 «Об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деятельности»;</w:t>
      </w:r>
    </w:p>
    <w:p>
      <w:pPr>
        <w:pStyle w:val="Style_38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** значение на 2023-2025 годы установлено в соответствии с соглашением о реализации на территории Новосибирской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«Социальная поддержка граждан» от 15.12.2022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2022-00875;</w:t>
      </w:r>
    </w:p>
    <w:p>
      <w:pPr>
        <w:pStyle w:val="Style_38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*** значения показателя на период 2023–2025 годов указаны в соответствии с соглашением о реализации на территории Новосибирской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«Доступная среда» 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15.12.2022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2022-00728;</w:t>
      </w:r>
    </w:p>
    <w:p>
      <w:pPr>
        <w:pStyle w:val="Style_38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****с 01.01.2023 изменена методика расчета целевого индикатора. </w:t>
      </w:r>
    </w:p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Применяемое сокращение: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РП – региональный проект.</w:t>
      </w:r>
    </w:p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19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pStyle w:val="Style_19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_________».</w:t>
      </w:r>
    </w:p>
    <w:sectPr>
      <w:headerReference w:type="default" r:id="rId9"/>
      <w:footnotePr>
        <w:pos w:val="pageBottom"/>
      </w:footnotePr>
      <w:endnotePr>
        <w:numFmt w:val="upperLetter"/>
      </w:endnotePr>
      <w:type w:val="nextPage"/>
      <w:pgSz w:w="16838" w:h="11906" w:orient="landscape"/>
      <w:pgMar w:top="1418" w:right="567" w:bottom="567" w:left="567" w:header="709" w:footer="709" w:gutter="0"/>
      <w:cols w:num="1"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separator/>
      </w:r>
    </w:p>
  </w:endnote>
  <w:endnote w:type="continuationSeparator" w:id="1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separator/>
      </w:r>
    </w:p>
  </w:footnote>
  <w:footnote w:type="continuationSeparator" w:id="1"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sz w:val="22"/>
          <w:szCs w:val="22"/>
          <w:lang w:val="ru-RU" w:bidi="ru-RU"/>
        </w:rPr>
      </w:pPr>
      <w:r>
        <w:rPr>
          <w:rFonts w:ascii="Calibri" w:hAnsi="Calibri" w:eastAsia="Calibri" w:cs="Calibri"/>
          <w:sz w:val="22"/>
          <w:szCs w:val="22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7"/>
      <w:tabs>
        <w:tab w:val="center" w:pos="4536"/>
        <w:tab w:val="right" w:pos="9072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sz w:val="20"/>
        <w:szCs w:val="20"/>
        <w:lang w:val="ru-RU" w:bidi="ru-RU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   \* MERGEFORMAT</w:instrText>
    </w:r>
    <w:r>
      <w:fldChar w:fldCharType="separate"/>
    </w:r>
    <w:r>
      <w:rPr>
        <w:rFonts w:ascii="Calibri" w:hAnsi="Calibri" w:eastAsia="Calibri" w:cs="Calibri"/>
        <w:sz w:val="20"/>
        <w:szCs w:val="20"/>
      </w:rPr>
      <w:t xml:space="preserve"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073957">
    <w:multiLevelType w:val="hybridMultilevel"/>
    <w:lvl w:ilvl="0">
      <w:start w:val="1"/>
      <w:numFmt w:val="decimal"/>
      <w:suff w:val="tab"/>
      <w:lvlText w:val="%1."/>
      <w:lvlJc w:val="left"/>
      <w:pPr>
        <w:ind w:left="540" w:hanging="540"/>
      </w:pPr>
      <w:rPr>
        <w:rFonts w:ascii="Times New Roman" w:hAnsi="Times New Roman" w:eastAsia="Times New Roman" w:cs="Times New Roman"/>
      </w:rPr>
    </w:lvl>
    <w:lvl w:ilvl="1">
      <w:start w:val="1"/>
      <w:numFmt w:val="decimal"/>
      <w:suff w:val="tab"/>
      <w:lvlText w:val="%1.%2."/>
      <w:lvlJc w:val="left"/>
      <w:pPr>
        <w:ind w:left="540" w:hanging="540"/>
      </w:pPr>
      <w:rPr>
        <w:rFonts w:ascii="Times New Roman" w:hAnsi="Times New Roman" w:eastAsia="Times New Roman" w:cs="Times New Roman"/>
      </w:rPr>
    </w:lvl>
    <w:lvl w:ilvl="2">
      <w:start w:val="1"/>
      <w:numFmt w:val="decimal"/>
      <w:suff w:val="tab"/>
      <w:lvlText w:val="%1.%2.%3."/>
      <w:lvlJc w:val="left"/>
      <w:pPr>
        <w:ind w:left="720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1.%2.%3.%4."/>
      <w:lvlJc w:val="left"/>
      <w:pPr>
        <w:ind w:left="720" w:hanging="720"/>
      </w:pPr>
      <w:rPr>
        <w:rFonts w:ascii="Times New Roman" w:hAnsi="Times New Roman" w:eastAsia="Times New Roman" w:cs="Times New Roman"/>
      </w:rPr>
    </w:lvl>
    <w:lvl w:ilvl="4">
      <w:start w:val="1"/>
      <w:numFmt w:val="decimal"/>
      <w:suff w:val="tab"/>
      <w:lvlText w:val="%1.%2.%3.%4.%5.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5">
      <w:start w:val="1"/>
      <w:numFmt w:val="decimal"/>
      <w:suff w:val="tab"/>
      <w:lvlText w:val="%1.%2.%3.%4.%5.%6."/>
      <w:lvlJc w:val="left"/>
      <w:pPr>
        <w:ind w:left="1080" w:hanging="108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1.%2.%3.%4.%5.%6.%7.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7">
      <w:start w:val="1"/>
      <w:numFmt w:val="decimal"/>
      <w:suff w:val="tab"/>
      <w:lvlText w:val="%1.%2.%3.%4.%5.%6.%7.%8."/>
      <w:lvlJc w:val="left"/>
      <w:pPr>
        <w:ind w:left="1440" w:hanging="1440"/>
      </w:pPr>
      <w:rPr>
        <w:rFonts w:ascii="Times New Roman" w:hAnsi="Times New Roman" w:eastAsia="Times New Roman" w:cs="Times New Roman"/>
      </w:rPr>
    </w:lvl>
    <w:lvl w:ilvl="8">
      <w:start w:val="1"/>
      <w:numFmt w:val="decimal"/>
      <w:suff w:val="tab"/>
      <w:lvlText w:val="%1.%2.%3.%4.%5.%6.%7.%8.%9."/>
      <w:lvlJc w:val="left"/>
      <w:pPr>
        <w:ind w:left="1800" w:hanging="1800"/>
      </w:pPr>
      <w:rPr>
        <w:rFonts w:ascii="Times New Roman" w:hAnsi="Times New Roman" w:eastAsia="Times New Roman" w:cs="Times New Roman"/>
      </w:rPr>
    </w:lvl>
  </w:abstractNum>
  <w:abstractNum w:abstractNumId="1837960108">
    <w:multiLevelType w:val="hybridMultilevel"/>
    <w:lvl w:ilvl="0">
      <w:start w:val="1"/>
      <w:numFmt w:val="bullet"/>
      <w:suff w:val="tab"/>
      <w:lvlText w:val=" 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entative="1">
      <w:start w:val="1"/>
      <w:numFmt w:val="bullet"/>
      <w:suff w:val="tab"/>
      <w:lvlText w:val=" 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 w:tentative="1">
      <w:start w:val="1"/>
      <w:numFmt w:val="bullet"/>
      <w:suff w:val="tab"/>
      <w:lvlText w:val=" 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hAnsi="Times New Roman" w:eastAsia="Times New Roman" w:cs="Times New Roman"/>
      </w:rPr>
    </w:lvl>
    <w:lvl w:ilvl="5" w:tentative="1">
      <w:start w:val="1"/>
      <w:numFmt w:val="bullet"/>
      <w:suff w:val="tab"/>
      <w:lvlText w:val=" 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 w:tentative="1">
      <w:start w:val="1"/>
      <w:numFmt w:val="bullet"/>
      <w:suff w:val="tab"/>
      <w:lvlText w:val=" 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hAnsi="Times New Roman" w:eastAsia="Times New Roman" w:cs="Times New Roman"/>
      </w:rPr>
    </w:lvl>
    <w:lvl w:ilvl="8" w:tentative="1">
      <w:start w:val="1"/>
      <w:numFmt w:val="bullet"/>
      <w:suff w:val="tab"/>
      <w:lvlText w:val=" 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num w:numId="1">
    <w:abstractNumId w:val="85073957"/>
  </w:num>
  <w:num w:numId="2">
    <w:abstractNumId w:val="18379601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pageBottom"/>
    <w:numRestart w:val="continuous"/>
    <w:footnote w:id="0"/>
    <w:footnote w:id="1"/>
  </w:footnotePr>
  <w:endnotePr>
    <w:pos w:val="docEnd"/>
    <w:endnote w:id="0"/>
    <w:endnote w:id="1"/>
  </w:endnotePr>
  <w:compat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4"/>
      </w:rPr>
    </w:rPrDefault>
    <w:pPrDefault>
      <w:pPr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2"/>
      <w:szCs w:val="22"/>
      <w:lang w:val="ru-RU" w:bidi="ru-RU"/>
    </w:rPr>
  </w:style>
  <w:style w:type="paragraph" w:styleId="Style_2">
    <w:name w:val="heading 2"/>
    <w:basedOn w:val="Style_0"/>
    <w:uiPriority w:val="9"/>
    <w:semiHidden/>
    <w:unhideWhenUsed/>
    <w:qFormat/>
    <w:pPr>
      <w:keepNext/>
      <w:spacing w:before="240" w:after="60" w:line="276" w:lineRule="auto"/>
      <w:ind w:left="0" w:right="0"/>
      <w:jc w:val="left"/>
      <w:outlineLvl w:val="1"/>
      <w:rPr>
        <w:rFonts w:ascii="Times New Roman" w:hAnsi="Times New Roman" w:eastAsia="Times New Roman" w:cs="Times New Roman"/>
      </w:rPr>
    </w:pPr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paragraph" w:styleId="Style_9">
    <w:name w:val="heading 9"/>
    <w:basedOn w:val="Style_0"/>
    <w:qFormat/>
    <w:pPr>
      <w:keepNext/>
      <w:spacing w:before="0" w:after="0" w:line="240" w:lineRule="auto"/>
      <w:ind w:left="0" w:right="0"/>
      <w:jc w:val="center"/>
      <w:outlineLvl w:val="8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b/>
      <w:bCs/>
      <w:sz w:val="24"/>
      <w:szCs w:val="24"/>
      <w:lang w:val="ru-RU" w:bidi="ru-RU"/>
    </w:rPr>
  </w:style>
  <w:style w:type="character" w:styleId="Style_10">
    <w:name w:val="Default Paragraph Font"/>
    <w:uiPriority w:val="1"/>
    <w:unhideWhenUsed/>
    <w:rPr>
      <w:rFonts w:ascii="Calibri" w:hAnsi="Calibri" w:eastAsia="Calibri" w:cs="Calibri"/>
      <w:sz w:val="24"/>
    </w:rPr>
  </w:style>
  <w:style w:type="table" w:styleId="Style_11">
    <w:name w:val="Normal Table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0"/>
      <w:szCs w:val="20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character" w:styleId="Style_15">
    <w:name w:val="Заголовок 2 Знак"/>
    <w:basedOn w:val="Style_10"/>
    <w:uiPriority w:val="9"/>
    <w:semiHidden/>
    <w:locked/>
    <w:rPr>
      <w:rFonts w:ascii="Cambria" w:hAnsi="Cambria" w:eastAsia="Cambria" w:cs="Cambria"/>
      <w:b/>
      <w:i/>
      <w:sz w:val="28"/>
    </w:rPr>
  </w:style>
  <w:style w:type="character" w:styleId="Style_16">
    <w:name w:val="Заголовок 9 Знак"/>
    <w:basedOn w:val="Style_10"/>
    <w:locked/>
    <w:rPr>
      <w:rFonts w:ascii="Times New Roman" w:hAnsi="Times New Roman" w:eastAsia="Times New Roman" w:cs="Times New Roman"/>
      <w:b/>
      <w:sz w:val="24"/>
    </w:rPr>
  </w:style>
  <w:style w:type="paragraph" w:styleId="Style_17">
    <w:name w:val="header,ВерхКолонтитул"/>
    <w:basedOn w:val="Style_0"/>
    <w:pPr>
      <w:tabs>
        <w:tab w:val="center" w:pos="4536"/>
        <w:tab w:val="right" w:pos="9072"/>
      </w:tabs>
      <w:spacing w:before="0" w:after="0" w:line="240" w:lineRule="auto"/>
      <w:ind w:left="0" w:right="0" w:firstLine="709"/>
      <w:jc w:val="both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8"/>
      <w:szCs w:val="28"/>
      <w:lang w:val="ru-RU" w:bidi="ru-RU"/>
    </w:rPr>
  </w:style>
  <w:style w:type="character" w:styleId="Style_18">
    <w:name w:val="Верхний колонтитул Знак,ВерхКолонтитул Знак"/>
    <w:basedOn w:val="Style_10"/>
    <w:locked/>
    <w:rPr>
      <w:rFonts w:ascii="Times New Roman" w:hAnsi="Times New Roman" w:eastAsia="Times New Roman" w:cs="Times New Roman"/>
      <w:sz w:val="20"/>
      <w:szCs w:val="20"/>
      <w:lang w:bidi="ru-RU"/>
    </w:rPr>
  </w:style>
  <w:style w:type="paragraph" w:styleId="Style_19">
    <w:name w:val="Body Text 2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8"/>
      <w:szCs w:val="28"/>
      <w:lang w:val="ru-RU" w:bidi="ru-RU"/>
    </w:rPr>
  </w:style>
  <w:style w:type="character" w:styleId="Style_20">
    <w:name w:val="Основной текст 2 Знак"/>
    <w:basedOn w:val="Style_10"/>
    <w:locked/>
    <w:rPr>
      <w:rFonts w:ascii="Times New Roman" w:hAnsi="Times New Roman" w:eastAsia="Times New Roman" w:cs="Times New Roman"/>
      <w:sz w:val="20"/>
      <w:szCs w:val="20"/>
      <w:lang w:bidi="ru-RU"/>
    </w:rPr>
  </w:style>
  <w:style w:type="paragraph" w:styleId="Style_21">
    <w:name w:val="Body Text Indent"/>
    <w:basedOn w:val="Style_0"/>
    <w:pPr>
      <w:spacing w:before="0" w:after="0" w:line="240" w:lineRule="auto"/>
      <w:ind w:left="180" w:right="0"/>
      <w:jc w:val="both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8"/>
      <w:szCs w:val="28"/>
      <w:lang w:val="ru-RU" w:bidi="ru-RU"/>
    </w:rPr>
  </w:style>
  <w:style w:type="character" w:styleId="Style_22">
    <w:name w:val="Основной текст с отступом Знак"/>
    <w:basedOn w:val="Style_10"/>
    <w:locked/>
    <w:rPr>
      <w:rFonts w:ascii="Times New Roman" w:hAnsi="Times New Roman" w:eastAsia="Times New Roman" w:cs="Times New Roman"/>
      <w:sz w:val="20"/>
      <w:szCs w:val="20"/>
      <w:lang w:bidi="ru-RU"/>
    </w:rPr>
  </w:style>
  <w:style w:type="paragraph" w:styleId="Style_23">
    <w:name w:val="Balloon Text"/>
    <w:basedOn w:val="Style_0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Tahoma" w:hAnsi="Tahoma" w:eastAsia="Tahoma" w:cs="Tahoma"/>
      <w:sz w:val="16"/>
      <w:szCs w:val="16"/>
      <w:lang w:val="ru-RU" w:bidi="ru-RU"/>
    </w:rPr>
  </w:style>
  <w:style w:type="character" w:styleId="Style_24">
    <w:name w:val="Текст выноски Знак"/>
    <w:basedOn w:val="Style_10"/>
    <w:semiHidden/>
    <w:locked/>
    <w:rPr>
      <w:rFonts w:ascii="Tahoma" w:hAnsi="Tahoma" w:eastAsia="Tahoma" w:cs="Tahoma"/>
      <w:sz w:val="16"/>
      <w:szCs w:val="16"/>
      <w:lang w:bidi="ru-RU"/>
    </w:rPr>
  </w:style>
  <w:style w:type="table" w:styleId="Style_25">
    <w:name w:val="Table Grid"/>
    <w:basedOn w:val="Style_11"/>
    <w:uiPriority w:val="59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0"/>
      <w:szCs w:val="20"/>
      <w:lang w:val="ru-RU" w:bidi="ru-RU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108" w:type="dxa"/>
        <w:right w:w="108" w:type="dxa"/>
      </w:tblCellMar>
    </w:tblPr>
  </w:style>
  <w:style w:type="paragraph" w:styleId="Style_26">
    <w:name w:val="Основной текст 21"/>
    <w:basedOn w:val="Style_0"/>
    <w:uiPriority w:val="0"/>
    <w:pPr>
      <w:spacing w:before="0" w:after="0" w:line="360" w:lineRule="auto"/>
      <w:ind w:left="0" w:right="0"/>
      <w:jc w:val="both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8"/>
      <w:szCs w:val="28"/>
      <w:lang w:val="ru-RU" w:bidi="ru-RU"/>
    </w:rPr>
  </w:style>
  <w:style w:type="paragraph" w:styleId="Style_27">
    <w:name w:val="footer"/>
    <w:basedOn w:val="Style_0"/>
    <w:unhideWhenUsed/>
    <w:pPr>
      <w:tabs>
        <w:tab w:val="center" w:pos="4677"/>
        <w:tab w:val="right" w:pos="9355"/>
      </w:tabs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2"/>
      <w:szCs w:val="22"/>
      <w:lang w:val="ru-RU" w:bidi="ru-RU"/>
    </w:rPr>
  </w:style>
  <w:style w:type="character" w:styleId="Style_28">
    <w:name w:val="Нижний колонтитул Знак"/>
    <w:basedOn w:val="Style_10"/>
    <w:locked/>
    <w:rPr>
      <w:rFonts w:ascii="Calibri" w:hAnsi="Calibri" w:eastAsia="Calibri" w:cs="Calibri"/>
      <w:sz w:val="22"/>
    </w:rPr>
  </w:style>
  <w:style w:type="paragraph" w:styleId="Style_29">
    <w:name w:val="No Spacing"/>
    <w:uiPriority w:val="1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2"/>
      <w:szCs w:val="22"/>
      <w:lang w:val="ru-RU" w:bidi="zh-CN"/>
    </w:rPr>
  </w:style>
  <w:style w:type="paragraph" w:styleId="Style_30">
    <w:name w:val="ConsPlusNormal"/>
    <w:uiPriority w:val="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31">
    <w:name w:val="Body Text"/>
    <w:basedOn w:val="Style_0"/>
    <w:semiHidden/>
    <w:unhideWhenUsed/>
    <w:pPr>
      <w:spacing w:before="0" w:after="120" w:line="276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2"/>
      <w:szCs w:val="22"/>
      <w:lang w:val="ru-RU" w:bidi="ru-RU"/>
    </w:rPr>
  </w:style>
  <w:style w:type="character" w:styleId="Style_32">
    <w:name w:val="Основной текст Знак"/>
    <w:basedOn w:val="Style_10"/>
    <w:semiHidden/>
    <w:locked/>
    <w:rPr>
      <w:rFonts w:ascii="Calibri" w:hAnsi="Calibri" w:eastAsia="Calibri" w:cs="Calibri"/>
      <w:sz w:val="22"/>
    </w:rPr>
  </w:style>
  <w:style w:type="paragraph" w:styleId="Style_33">
    <w:name w:val="List"/>
    <w:basedOn w:val="Style_31"/>
    <w:pPr>
      <w:spacing w:before="0" w:after="120" w:line="276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2"/>
      <w:szCs w:val="22"/>
      <w:lang w:val="ru-RU" w:bidi="zh-CN"/>
    </w:rPr>
  </w:style>
  <w:style w:type="character" w:styleId="Style_34">
    <w:name w:val="Без интервала Знак"/>
    <w:uiPriority w:val="1"/>
    <w:locked/>
    <w:rPr>
      <w:rFonts w:ascii="Calibri" w:hAnsi="Calibri" w:eastAsia="Calibri" w:cs="Calibri"/>
      <w:sz w:val="22"/>
      <w:szCs w:val="22"/>
      <w:lang w:bidi="zh-CN"/>
    </w:rPr>
  </w:style>
  <w:style w:type="paragraph" w:styleId="Style_35">
    <w:name w:val="footnote text"/>
    <w:basedOn w:val="Style_0"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36">
    <w:name w:val="Текст сноски Знак"/>
    <w:basedOn w:val="Style_10"/>
    <w:locked/>
    <w:rPr>
      <w:rFonts w:ascii="Calibri" w:hAnsi="Calibri" w:eastAsia="Calibri" w:cs="Calibri"/>
      <w:sz w:val="24"/>
    </w:rPr>
  </w:style>
  <w:style w:type="character" w:styleId="Style_37">
    <w:name w:val="footnote reference"/>
    <w:basedOn w:val="Style_10"/>
    <w:rPr>
      <w:rFonts w:ascii="Calibri" w:hAnsi="Calibri" w:eastAsia="Calibri" w:cs="Calibri"/>
      <w:sz w:val="24"/>
      <w:vertAlign w:val="superscript"/>
    </w:rPr>
  </w:style>
  <w:style w:type="paragraph" w:styleId="Style_38">
    <w:name w:val="endnote text"/>
    <w:basedOn w:val="Style_0"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</w:rPr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Style_39">
    <w:name w:val="Текст концевой сноски Знак"/>
    <w:basedOn w:val="Style_10"/>
    <w:locked/>
    <w:rPr>
      <w:rFonts w:ascii="Calibri" w:hAnsi="Calibri" w:eastAsia="Calibri" w:cs="Calibri"/>
      <w:sz w:val="24"/>
    </w:rPr>
  </w:style>
  <w:style w:type="character" w:styleId="Style_40">
    <w:name w:val="endnote reference"/>
    <w:basedOn w:val="Style_10"/>
    <w:rPr>
      <w:rFonts w:ascii="Calibri" w:hAnsi="Calibri" w:eastAsia="Calibri" w:cs="Calibri"/>
      <w:sz w:val="24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WithSpaces>11782</CharactersWithSpaces>
  <DocSecurity>0</DocSecurity>
  <HyperlinksChanged>false</HyperlinksChanged>
  <LinksUpToDate>false</LinksUpToDate>
  <Pages>18</Pages>
  <ScaleCrop>false</ScaleCrop>
  <SharedDoc>false</SharedDoc>
  <TotalTime>2</TotalTime>
  <Words>2066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/>
</cp:coreProperties>
</file>