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pStyle w:val="8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Губернатора</w:t>
      </w:r>
      <w:r/>
    </w:p>
    <w:p>
      <w:pPr>
        <w:pStyle w:val="8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</w:t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от 18.01.2023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5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постановление Губернатора Новосибирской области от 18.01.2023 № 5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Российской Федерации,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Новоси</w:t>
      </w:r>
      <w:r>
        <w:rPr>
          <w:sz w:val="28"/>
          <w:szCs w:val="28"/>
        </w:rPr>
        <w:t xml:space="preserve">бирской области, до прекращения действия указанного контракта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йской Федерации,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Новосибирской области</w:t>
      </w:r>
      <w:r>
        <w:rPr>
          <w:sz w:val="28"/>
          <w:szCs w:val="28"/>
        </w:rPr>
        <w:t xml:space="preserve">, до прекращения действия указанного контракта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Пункт 1 изложить в следующей редакции: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</w:rPr>
        <w:t xml:space="preserve">«1. </w:t>
      </w:r>
      <w:r>
        <w:rPr>
          <w:sz w:val="28"/>
          <w:szCs w:val="28"/>
        </w:rPr>
        <w:t xml:space="preserve">Настоящий Порядок в соответствии со статьей 9.1 Федерального закона от 14.03.2022 № 58-ФЗ «О внесении изменений в отдельные законодательные акты Российской Федерации» определяет процедуру освобождения от начисления пеней в случае несвоевременного и 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следующей категории граждан Российской Федерации, прожив</w:t>
      </w:r>
      <w:r>
        <w:rPr>
          <w:sz w:val="28"/>
          <w:szCs w:val="28"/>
        </w:rPr>
        <w:t xml:space="preserve">ающий на территории Новосибирской области (далее – граждан):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</w:rPr>
        <w:t xml:space="preserve">1) граждан, призванны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на военную службу по мобилизации, - на период прохождения ими военной службы;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граждан, проходящих военную службу в Вооруженных силах Российской Федерации по контракту, граждан,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дерального закона от 31 мая 1996 года № 61-ФЗ «Об обороне», при условии их участия в специальной военной операции по территориях Украины, Донецкой Народной Республики, Луганской Народной Республики, Херсонской области и Запорожской области - на период их у</w:t>
      </w:r>
      <w:r>
        <w:rPr>
          <w:sz w:val="28"/>
          <w:szCs w:val="28"/>
        </w:rPr>
        <w:t xml:space="preserve">частия в специальной военной операции;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граждан, заключивших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</w:t>
      </w:r>
      <w:r>
        <w:rPr>
          <w:sz w:val="28"/>
          <w:szCs w:val="28"/>
        </w:rPr>
        <w:t xml:space="preserve">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 граждан, проходящих военную службу в пограничных органах федеральной службы безопасности и выполняющих (выполнявших) задачи по отражению вооруженного вторжения на территорию Российской Федерации, выполняющих (выполнявших) задачи в ходе вооруженной провок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Запорожской области и Херсонской области, а также обеспечивающих (обеспечивавших) проведение специальной военной операции на указанных приграничных территориях субъектов Российской Федерации, проходящих военную службу (службу) в войсках национальной гвард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и Российской Федерации и оказывающих (оказывавших)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</w:t>
      </w:r>
      <w:r>
        <w:rPr>
          <w:sz w:val="28"/>
          <w:szCs w:val="28"/>
        </w:rPr>
        <w:t xml:space="preserve">ласти, - на период выполнения ими указанных задач;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 совместно проживающих с гражданами, указанными в подпунктах 1 - 4 пункта 1 настоящего Порядка, супругов, детей, родителей, а также других родственников, нетрудоспособных иждивенцев и иных граждан, признанных членами семьи, - на период, установленный для </w:t>
      </w:r>
      <w:r>
        <w:rPr>
          <w:sz w:val="28"/>
          <w:szCs w:val="28"/>
        </w:rPr>
        <w:t xml:space="preserve">граждан, указанных в подпунктах 1 - 4 пункта 1 настоящего Порядка.</w:t>
      </w:r>
      <w:r>
        <w:rPr>
          <w:sz w:val="28"/>
          <w:szCs w:val="28"/>
        </w:rPr>
        <w:t xml:space="preserve">».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абзаце первом пункта 2 слова «мобилизованный гражданин или члены его семьи»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граждане, указанные в пункте 1 настоящего Порядка,».</w:t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3. В пункте 3: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1) абзац третий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копия справки о призыве на военную службу по мобилизации, выданной военным комиссариатом, либо копия документа, подтверждающего в соответствии с законодательством Российской Федерации их участие в специальной военной операции;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абзац пятый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В случае подачи заявления членом семьи гражданина, указанного в подпункте 1-4 пункта 1 настоящего Порядка,  к заявлению должны быть приложены копии документов, подтверждающих их статус в качестве члена семьи такого гражданина.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4. Абзац девятый пункта 4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призыве на военную службу по мобилизации либо об участии в специальной военной операции.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6. Абзац второй пункта 6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Г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раждане, указанные в пункте 1 настоящего Порядка, освобождаются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с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даты призыва на военную службу по мобилизации и до момента прекращения действия контракта о прохождении военной службы в связи с призывом на военную службу по мобилизации, либо на период их участия в специальной военной операции.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7. Пункт 10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0. Заявитель обязан сообщить о прекращении действия контракта о прохождении военной службы в связи с призывом на военную службу по мобилизации, либо о прекращении участия в специальной военной операции лицам, указанным в пункте 2 настоящего Порядка, не поз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днее десяти рабочих дней со дня прекращения указанного контракта.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Д.Н. Архипов</w:t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  <w:r/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/>
                </w:p>
              </w:tc>
            </w:tr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</w:t>
                  </w:r>
                  <w:r>
                    <w:rPr>
                      <w:sz w:val="28"/>
                      <w:szCs w:val="28"/>
                    </w:rPr>
                    <w:t xml:space="preserve">ервый заместитель Председателя Правительства Новосибирской области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Новосибирской области</w:t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 xml:space="preserve">С.Н. Сёмка</w:t>
                  </w:r>
                  <w:r/>
                </w:p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</w:t>
                  </w:r>
                  <w:r>
                    <w:rPr>
                      <w:sz w:val="28"/>
                      <w:szCs w:val="28"/>
                    </w:rPr>
                    <w:t xml:space="preserve">инистр юстиции </w:t>
                  </w:r>
                  <w:r/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/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</w:t>
                  </w:r>
                  <w:r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Д.Н. Архипов</w:t>
                  </w:r>
                  <w:r/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/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0"/>
    <w:link w:val="82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0"/>
    <w:link w:val="82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0"/>
    <w:link w:val="82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30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30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830"/>
    <w:link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830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830"/>
    <w:link w:val="82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830"/>
    <w:link w:val="82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830"/>
    <w:link w:val="843"/>
    <w:uiPriority w:val="10"/>
    <w:rPr>
      <w:sz w:val="48"/>
      <w:szCs w:val="48"/>
    </w:rPr>
  </w:style>
  <w:style w:type="character" w:styleId="672">
    <w:name w:val="Subtitle Char"/>
    <w:basedOn w:val="830"/>
    <w:link w:val="845"/>
    <w:uiPriority w:val="11"/>
    <w:rPr>
      <w:sz w:val="24"/>
      <w:szCs w:val="24"/>
    </w:rPr>
  </w:style>
  <w:style w:type="character" w:styleId="673">
    <w:name w:val="Quote Char"/>
    <w:link w:val="851"/>
    <w:uiPriority w:val="29"/>
    <w:rPr>
      <w:i/>
    </w:rPr>
  </w:style>
  <w:style w:type="character" w:styleId="674">
    <w:name w:val="Intense Quote Char"/>
    <w:link w:val="853"/>
    <w:uiPriority w:val="30"/>
    <w:rPr>
      <w:i/>
    </w:rPr>
  </w:style>
  <w:style w:type="character" w:styleId="675">
    <w:name w:val="Header Char"/>
    <w:basedOn w:val="830"/>
    <w:link w:val="861"/>
    <w:uiPriority w:val="99"/>
  </w:style>
  <w:style w:type="character" w:styleId="676">
    <w:name w:val="Footer Char"/>
    <w:basedOn w:val="830"/>
    <w:link w:val="871"/>
    <w:uiPriority w:val="99"/>
  </w:style>
  <w:style w:type="character" w:styleId="677">
    <w:name w:val="Caption Char"/>
    <w:basedOn w:val="842"/>
    <w:link w:val="871"/>
    <w:uiPriority w:val="99"/>
  </w:style>
  <w:style w:type="table" w:styleId="67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2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0"/>
    <w:uiPriority w:val="99"/>
    <w:unhideWhenUsed/>
    <w:rPr>
      <w:vertAlign w:val="superscript"/>
    </w:rPr>
  </w:style>
  <w:style w:type="paragraph" w:styleId="807">
    <w:name w:val="endnote text"/>
    <w:basedOn w:val="82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0"/>
    <w:uiPriority w:val="99"/>
    <w:semiHidden/>
    <w:unhideWhenUsed/>
    <w:rPr>
      <w:vertAlign w:val="superscript"/>
    </w:rPr>
  </w:style>
  <w:style w:type="paragraph" w:styleId="810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21">
    <w:name w:val="Heading 1"/>
    <w:basedOn w:val="820"/>
    <w:next w:val="820"/>
    <w:link w:val="833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22">
    <w:name w:val="Heading 2"/>
    <w:basedOn w:val="820"/>
    <w:next w:val="820"/>
    <w:link w:val="834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23">
    <w:name w:val="Heading 3"/>
    <w:basedOn w:val="820"/>
    <w:next w:val="820"/>
    <w:link w:val="835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24">
    <w:name w:val="Heading 4"/>
    <w:basedOn w:val="820"/>
    <w:next w:val="820"/>
    <w:link w:val="836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825">
    <w:name w:val="Heading 5"/>
    <w:basedOn w:val="820"/>
    <w:next w:val="820"/>
    <w:link w:val="837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26">
    <w:name w:val="Heading 6"/>
    <w:basedOn w:val="820"/>
    <w:next w:val="820"/>
    <w:link w:val="838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27">
    <w:name w:val="Heading 7"/>
    <w:basedOn w:val="820"/>
    <w:next w:val="820"/>
    <w:link w:val="839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828">
    <w:name w:val="Heading 8"/>
    <w:basedOn w:val="820"/>
    <w:next w:val="820"/>
    <w:link w:val="84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29">
    <w:name w:val="Heading 9"/>
    <w:basedOn w:val="820"/>
    <w:next w:val="820"/>
    <w:link w:val="841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Заголовок 1 Знак"/>
    <w:basedOn w:val="830"/>
    <w:link w:val="821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34" w:customStyle="1">
    <w:name w:val="Заголовок 2 Знак"/>
    <w:basedOn w:val="830"/>
    <w:link w:val="82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35" w:customStyle="1">
    <w:name w:val="Заголовок 3 Знак"/>
    <w:basedOn w:val="830"/>
    <w:link w:val="823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36" w:customStyle="1">
    <w:name w:val="Заголовок 4 Знак"/>
    <w:basedOn w:val="830"/>
    <w:link w:val="824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37" w:customStyle="1">
    <w:name w:val="Заголовок 5 Знак"/>
    <w:basedOn w:val="830"/>
    <w:link w:val="82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38" w:customStyle="1">
    <w:name w:val="Заголовок 6 Знак"/>
    <w:basedOn w:val="830"/>
    <w:link w:val="82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39" w:customStyle="1">
    <w:name w:val="Заголовок 7 Знак"/>
    <w:basedOn w:val="830"/>
    <w:link w:val="827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40" w:customStyle="1">
    <w:name w:val="Заголовок 8 Знак"/>
    <w:basedOn w:val="830"/>
    <w:link w:val="828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41" w:customStyle="1">
    <w:name w:val="Заголовок 9 Знак"/>
    <w:basedOn w:val="830"/>
    <w:link w:val="829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42">
    <w:name w:val="Caption"/>
    <w:basedOn w:val="820"/>
    <w:next w:val="820"/>
    <w:uiPriority w:val="35"/>
    <w:semiHidden/>
    <w:unhideWhenUsed/>
    <w:qFormat/>
    <w:rPr>
      <w:b/>
      <w:bCs/>
      <w:sz w:val="18"/>
      <w:szCs w:val="18"/>
    </w:rPr>
  </w:style>
  <w:style w:type="paragraph" w:styleId="843">
    <w:name w:val="Title"/>
    <w:basedOn w:val="820"/>
    <w:next w:val="820"/>
    <w:link w:val="844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44" w:customStyle="1">
    <w:name w:val="Название Знак"/>
    <w:basedOn w:val="830"/>
    <w:link w:val="843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45">
    <w:name w:val="Subtitle"/>
    <w:basedOn w:val="820"/>
    <w:next w:val="820"/>
    <w:link w:val="846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46" w:customStyle="1">
    <w:name w:val="Подзаголовок Знак"/>
    <w:basedOn w:val="830"/>
    <w:link w:val="845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47">
    <w:name w:val="Strong"/>
    <w:basedOn w:val="830"/>
    <w:uiPriority w:val="22"/>
    <w:qFormat/>
    <w:rPr>
      <w:b/>
      <w:bCs/>
      <w:spacing w:val="0"/>
    </w:rPr>
  </w:style>
  <w:style w:type="character" w:styleId="848">
    <w:name w:val="Emphasis"/>
    <w:uiPriority w:val="20"/>
    <w:qFormat/>
    <w:rPr>
      <w:b/>
      <w:bCs/>
      <w:i/>
      <w:iCs/>
      <w:color w:val="auto"/>
    </w:rPr>
  </w:style>
  <w:style w:type="paragraph" w:styleId="849">
    <w:name w:val="No Spacing"/>
    <w:basedOn w:val="820"/>
    <w:uiPriority w:val="1"/>
    <w:qFormat/>
    <w:pPr>
      <w:spacing w:after="0"/>
    </w:pPr>
  </w:style>
  <w:style w:type="paragraph" w:styleId="850">
    <w:name w:val="List Paragraph"/>
    <w:basedOn w:val="820"/>
    <w:uiPriority w:val="34"/>
    <w:qFormat/>
    <w:pPr>
      <w:contextualSpacing/>
      <w:ind w:left="720"/>
    </w:pPr>
  </w:style>
  <w:style w:type="paragraph" w:styleId="851">
    <w:name w:val="Quote"/>
    <w:basedOn w:val="820"/>
    <w:next w:val="820"/>
    <w:link w:val="852"/>
    <w:uiPriority w:val="29"/>
    <w:qFormat/>
    <w:rPr>
      <w:color w:val="5a5a5a" w:themeColor="text1" w:themeTint="A5"/>
    </w:rPr>
  </w:style>
  <w:style w:type="character" w:styleId="852" w:customStyle="1">
    <w:name w:val="Цитата 2 Знак"/>
    <w:basedOn w:val="830"/>
    <w:link w:val="851"/>
    <w:uiPriority w:val="29"/>
    <w:rPr>
      <w:rFonts w:asciiTheme="minorHAnsi"/>
      <w:color w:val="5a5a5a" w:themeColor="text1" w:themeTint="A5"/>
    </w:rPr>
  </w:style>
  <w:style w:type="paragraph" w:styleId="853">
    <w:name w:val="Intense Quote"/>
    <w:basedOn w:val="820"/>
    <w:next w:val="820"/>
    <w:link w:val="854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54" w:customStyle="1">
    <w:name w:val="Выделенная цитата Знак"/>
    <w:basedOn w:val="830"/>
    <w:link w:val="853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55">
    <w:name w:val="Subtle Emphasis"/>
    <w:uiPriority w:val="19"/>
    <w:qFormat/>
    <w:rPr>
      <w:i/>
      <w:iCs/>
      <w:color w:val="5a5a5a" w:themeColor="text1" w:themeTint="A5"/>
    </w:rPr>
  </w:style>
  <w:style w:type="character" w:styleId="856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57">
    <w:name w:val="Subtle Reference"/>
    <w:uiPriority w:val="31"/>
    <w:qFormat/>
    <w:rPr>
      <w:smallCaps/>
    </w:rPr>
  </w:style>
  <w:style w:type="character" w:styleId="858">
    <w:name w:val="Intense Reference"/>
    <w:uiPriority w:val="32"/>
    <w:qFormat/>
    <w:rPr>
      <w:b/>
      <w:bCs/>
      <w:smallCaps/>
      <w:color w:val="auto"/>
    </w:rPr>
  </w:style>
  <w:style w:type="character" w:styleId="859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60">
    <w:name w:val="TOC Heading"/>
    <w:basedOn w:val="821"/>
    <w:next w:val="820"/>
    <w:uiPriority w:val="39"/>
    <w:semiHidden/>
    <w:unhideWhenUsed/>
    <w:qFormat/>
    <w:pPr>
      <w:outlineLvl w:val="9"/>
    </w:pPr>
  </w:style>
  <w:style w:type="paragraph" w:styleId="861">
    <w:name w:val="Header"/>
    <w:basedOn w:val="820"/>
    <w:link w:val="86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2" w:customStyle="1">
    <w:name w:val="Верхний колонтитул Знак"/>
    <w:basedOn w:val="830"/>
    <w:link w:val="861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63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64">
    <w:name w:val="Balloon Text"/>
    <w:basedOn w:val="820"/>
    <w:link w:val="865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830"/>
    <w:link w:val="864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66">
    <w:name w:val="annotation reference"/>
    <w:basedOn w:val="830"/>
    <w:uiPriority w:val="99"/>
    <w:semiHidden/>
    <w:unhideWhenUsed/>
    <w:rPr>
      <w:sz w:val="16"/>
      <w:szCs w:val="16"/>
    </w:rPr>
  </w:style>
  <w:style w:type="paragraph" w:styleId="867">
    <w:name w:val="annotation text"/>
    <w:basedOn w:val="820"/>
    <w:link w:val="868"/>
    <w:uiPriority w:val="99"/>
    <w:semiHidden/>
    <w:unhideWhenUsed/>
    <w:rPr>
      <w:sz w:val="20"/>
    </w:rPr>
  </w:style>
  <w:style w:type="character" w:styleId="868" w:customStyle="1">
    <w:name w:val="Текст примечания Знак"/>
    <w:basedOn w:val="830"/>
    <w:link w:val="867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69">
    <w:name w:val="annotation subject"/>
    <w:basedOn w:val="867"/>
    <w:next w:val="867"/>
    <w:link w:val="870"/>
    <w:uiPriority w:val="99"/>
    <w:semiHidden/>
    <w:unhideWhenUsed/>
    <w:rPr>
      <w:b/>
      <w:bCs/>
    </w:rPr>
  </w:style>
  <w:style w:type="character" w:styleId="870" w:customStyle="1">
    <w:name w:val="Тема примечания Знак"/>
    <w:basedOn w:val="868"/>
    <w:link w:val="86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71">
    <w:name w:val="Footer"/>
    <w:basedOn w:val="820"/>
    <w:link w:val="872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30"/>
    <w:link w:val="871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73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74" w:customStyle="1">
    <w:name w:val="заголовок 1"/>
    <w:basedOn w:val="820"/>
    <w:next w:val="820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75">
    <w:name w:val="Body Text"/>
    <w:basedOn w:val="820"/>
    <w:link w:val="876"/>
    <w:uiPriority w:val="99"/>
    <w:pPr>
      <w:jc w:val="both"/>
      <w:spacing w:before="0" w:after="0"/>
    </w:pPr>
    <w:rPr>
      <w:sz w:val="28"/>
      <w:szCs w:val="28"/>
    </w:rPr>
  </w:style>
  <w:style w:type="character" w:styleId="876" w:customStyle="1">
    <w:name w:val="Основной текст Знак"/>
    <w:basedOn w:val="830"/>
    <w:link w:val="875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77">
    <w:name w:val="Hyperlink"/>
    <w:basedOn w:val="83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B3CD1D-62E9-4880-BEA4-C42323BE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7</cp:revision>
  <dcterms:created xsi:type="dcterms:W3CDTF">2023-06-22T09:30:00Z</dcterms:created>
  <dcterms:modified xsi:type="dcterms:W3CDTF">2023-06-28T03:51:57Z</dcterms:modified>
</cp:coreProperties>
</file>