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  <w:r>
        <w:rPr>
          <w:bCs/>
        </w:rPr>
      </w:r>
    </w:p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постановления Правительства</w:t>
      </w:r>
      <w:r>
        <w:rPr>
          <w:bCs/>
        </w:rPr>
      </w:r>
      <w:r>
        <w:rPr>
          <w:bCs/>
        </w:rPr>
      </w:r>
    </w:p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Новосибирской области</w:t>
      </w:r>
      <w:r>
        <w:rPr>
          <w:bCs/>
        </w:rPr>
      </w:r>
      <w:r>
        <w:rPr>
          <w:bCs/>
        </w:rPr>
      </w:r>
    </w:p>
    <w:p>
      <w:pPr>
        <w:pStyle w:val="926"/>
        <w:jc w:val="center"/>
        <w:widowControl w:val="off"/>
        <w:rPr>
          <w:b w:val="0"/>
          <w:bCs w:val="0"/>
        </w:rPr>
      </w:pPr>
      <w:r>
        <w:rPr>
          <w:b/>
          <w:bCs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19.01.2015 № 10-п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 о с 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 а н о в л я е т: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 19.01.2015 № 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области» (далее</w:t>
      </w:r>
      <w:r>
        <w:rPr>
          <w:sz w:val="28"/>
          <w:szCs w:val="28"/>
        </w:rPr>
        <w:t xml:space="preserve"> – постановление)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государственной программе Новосибирской области «Развитие системы обращения с отходами производства и потребления в Новосибирской области» (далее</w:t>
      </w:r>
      <w:r>
        <w:rPr>
          <w:sz w:val="28"/>
          <w:szCs w:val="28"/>
        </w:rPr>
        <w:t xml:space="preserve"> – государственная программа):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8"/>
        </w:rPr>
      </w:pPr>
      <w:r>
        <w:rPr>
          <w:rFonts w:ascii="TimesNewRoman" w:hAnsi="TimesNewRoman" w:eastAsia="TimesNewRoman" w:cs="TimesNewRoman"/>
          <w:b w:val="0"/>
          <w:bCs w:val="0"/>
          <w:sz w:val="28"/>
        </w:rPr>
        <w:t xml:space="preserve">1) раздел I «Паспорт государственной программы Новосибирской области» изложить в следующей редакции:</w:t>
      </w:r>
      <w:r>
        <w:rPr>
          <w:rFonts w:ascii="TimesNewRoman" w:hAnsi="TimesNewRoman" w:eastAsia="TimesNewRoman" w:cs="TimesNewRoman"/>
          <w:b w:val="0"/>
          <w:bCs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sz w:val="28"/>
        </w:rPr>
      </w:r>
    </w:p>
    <w:p>
      <w:pPr>
        <w:pStyle w:val="731"/>
        <w:contextualSpacing w:val="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8"/>
        </w:rPr>
      </w:pPr>
      <w:r>
        <w:rPr>
          <w:rFonts w:ascii="TimesNewRoman" w:hAnsi="TimesNewRoman" w:eastAsia="TimesNewRoman" w:cs="TimesNewRoman"/>
          <w:b w:val="0"/>
          <w:bCs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sz w:val="28"/>
        </w:rPr>
      </w:r>
    </w:p>
    <w:p>
      <w:pPr>
        <w:pStyle w:val="731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«I. Стратегические приоритеты в сфере реализации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731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государственной программы Новосибирской области «</w:t>
      </w:r>
      <w:r>
        <w:rPr>
          <w:rFonts w:ascii="TimesNewRoman" w:hAnsi="TimesNewRoman" w:eastAsia="TimesNewRoman" w:cs="TimesNewRoman"/>
          <w:b/>
          <w:sz w:val="28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rFonts w:ascii="TimesNewRoman" w:hAnsi="TimesNewRoman" w:eastAsia="TimesNewRoman" w:cs="TimesNewRoman"/>
          <w:b/>
          <w:sz w:val="28"/>
        </w:rPr>
        <w:t xml:space="preserve">»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</w:p>
    <w:p>
      <w:pPr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pStyle w:val="731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1. Оценка текущего состояния сферы реализации государственной</w:t>
      </w:r>
      <w:r>
        <w:rPr>
          <w:rFonts w:ascii="TimesNewRoman" w:hAnsi="TimesNewRoman" w:eastAsia="TimesNewRoman" w:cs="TimesNewRoman"/>
          <w:b/>
          <w:sz w:val="24"/>
        </w:rPr>
      </w:r>
      <w:r>
        <w:rPr>
          <w:rFonts w:ascii="TimesNewRoman" w:hAnsi="TimesNewRoman" w:eastAsia="TimesNewRoman" w:cs="TimesNewRoman"/>
          <w:b/>
          <w:sz w:val="24"/>
        </w:rPr>
      </w:r>
    </w:p>
    <w:p>
      <w:pPr>
        <w:pStyle w:val="731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программы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</w:p>
    <w:p>
      <w:pPr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sz w:val="28"/>
          <w:highlight w:val="none"/>
        </w:rPr>
      </w:r>
      <w:r>
        <w:rPr>
          <w:rFonts w:ascii="TimesNewRoman" w:hAnsi="TimesNewRoman" w:eastAsia="TimesNewRoman" w:cs="TimesNewRoman"/>
          <w:b/>
          <w:sz w:val="28"/>
          <w:highlight w:val="none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Приоритетными направлениями в сфере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развития системы обращения с отходами производства и потребления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определены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ликвидация несанкционированных свалок,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том числе в рамках реализации региональных проектов.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Обеспечение реализации приоритетных направлений осуществляется в рамках региональных проектов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Комплексная система обращения с твердыми коммунальными отходами (Новосибирская область)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»,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Снижение негативного воздействия на окружающую среду путем ликвидации несанкционированных свалок в границах городов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национального проекта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«Экология»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Указом Президента РФ от 07.05.2018 № 204 «О национальных целях и стратегических задачах развития Российской Федерации на период до 2024 года».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П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овышение качества окружающей среды и ликвидация накопленного вреда окружающей среде вследствие хозяйственной и иной деятельности в условиях возрастающей экономической активности необходимы для благоприятной жизни человека и устойчивого развития экономики. 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О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беспечение экологической безопасности населения Новосибирской области предусматривает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сокращение об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ъемов захоронения отходов, увеличение объемов их утилизации и переработки с учетом выполнения требований законодательства Российской Федерации в области безопасного обращения с отходами.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firstLine="720"/>
        <w:jc w:val="both"/>
        <w:spacing w:before="0" w:after="0" w:line="240" w:lineRule="auto"/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А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ктуальной проблемой остается организация системы сбора у населения особо опасных отходов и строительство предприятий по переработке отходов, являющихся вторичными материальными ресурсами (полиэтиленовых бутылок, пленки, алюминиевых банок, макулатуры, карто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н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а, стеклотары, тряпья, пластмассы и других). Необходима существенная государственная поддержка организациям, индивидуальным предпринимателям, осуществляющим деятельность по утилизации отходов эксплуатации автотранспортных средств, электронного оборудования</w:t>
      </w: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  <w:t xml:space="preserve">, гальванических элементов, обезвреживанию (уничтожению) биологических, ртутьсодержащих отходов.</w:t>
      </w:r>
      <w:r/>
    </w:p>
    <w:p>
      <w:pPr>
        <w:contextualSpacing w:val="0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4"/>
          <w:szCs w:val="24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sz w:val="24"/>
          <w:szCs w:val="24"/>
        </w:rPr>
      </w:r>
    </w:p>
    <w:p>
      <w:pPr>
        <w:pStyle w:val="731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sz w:val="28"/>
        </w:rPr>
        <w:t xml:space="preserve">2. Приоритеты и цели государственной политики в сфере реализации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</w:p>
    <w:p>
      <w:pPr>
        <w:pStyle w:val="731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государственной программы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</w:rPr>
      </w:r>
    </w:p>
    <w:p>
      <w:pPr>
        <w:contextualSpacing w:val="0"/>
        <w:ind w:left="0" w:firstLine="720"/>
        <w:jc w:val="both"/>
        <w:spacing w:before="0" w:after="0" w:line="240" w:lineRule="auto"/>
        <w:rPr>
          <w:b w:val="0"/>
          <w:bCs w:val="0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</w:rPr>
        <w:t xml:space="preserve">Приоритеты и цели государственной политики в сфере </w:t>
      </w:r>
      <w:r>
        <w:rPr>
          <w:sz w:val="28"/>
          <w:szCs w:val="28"/>
        </w:rPr>
        <w:t xml:space="preserve">развития системы обращения с отходами производства и потребления в Новосибирской области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</w:rPr>
        <w:t xml:space="preserve"> отражены в следующих стратегических документах: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contextualSpacing w:val="0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</w:rPr>
        <w:t xml:space="preserve">Стратегия экологической безопасности Российской Федерации на период до 2025 года, утвержденная Указом Президента Российской Федерации от 19.04.2017 № 176 «О Стратегии экологической безопасности Российской Федерации на период до 2025 года»;</w:t>
      </w:r>
      <w:r>
        <w:rPr>
          <w:b w:val="0"/>
          <w:bCs w:val="0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</w:rPr>
      </w:r>
    </w:p>
    <w:p>
      <w:pPr>
        <w:contextualSpacing w:val="0"/>
        <w:ind w:left="0" w:firstLine="720"/>
        <w:jc w:val="both"/>
        <w:spacing w:before="0" w:after="0" w:line="240" w:lineRule="auto"/>
        <w:rPr>
          <w:b w:val="0"/>
          <w:bCs w:val="0"/>
          <w:highlight w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 w:val="0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</w:t>
      </w:r>
      <w:r>
        <w:rPr>
          <w:b w:val="0"/>
          <w:bCs w:val="0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firstLine="720"/>
        <w:jc w:val="both"/>
        <w:spacing w:before="0" w:after="0" w:line="240" w:lineRule="auto"/>
        <w:rPr>
          <w:b w:val="0"/>
          <w:bCs w:val="0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</w:rPr>
        <w:t xml:space="preserve">Стратегия национальной безопасности Российской Федерации, утвержденная Указом Президента Российской Федерации от 02.07.2021 № 400 «О Стратегии национальной безопасности Российской Федерации»;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contextualSpacing w:val="0"/>
        <w:ind w:left="0" w:firstLine="720"/>
        <w:jc w:val="both"/>
        <w:spacing w:before="0" w:after="0" w:line="240" w:lineRule="auto"/>
        <w:rPr>
          <w:b w:val="0"/>
          <w:bCs w:val="0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</w:rPr>
        <w:t xml:space="preserve">Основы государственной политики в области экологического развития Российской Федерации на период до 2030 года, утвержденные Президентом Российской Федерации 30.04.2021;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contextualSpacing w:val="0"/>
        <w:ind w:left="0" w:firstLine="720"/>
        <w:jc w:val="both"/>
        <w:spacing w:before="0" w:after="0" w:line="240" w:lineRule="auto"/>
        <w:rPr>
          <w:b w:val="0"/>
          <w:bCs w:val="0"/>
        </w:rPr>
        <w:suppressLineNumbers w:val="0"/>
      </w:pPr>
      <w:r>
        <w:rPr>
          <w:rFonts w:ascii="TimesNewRoman" w:hAnsi="TimesNewRoman" w:eastAsia="TimesNewRoman" w:cs="TimesNewRoman"/>
          <w:b w:val="0"/>
          <w:bCs w:val="0"/>
          <w:sz w:val="28"/>
          <w:szCs w:val="28"/>
        </w:rPr>
        <w:t xml:space="preserve">Стратегия развития промышленности по обработке, утилизации и обезвреживанию отходов производства и потребления на период до 2030 года, утвержденная распоряжением Правительства Российской Федерации от 25.01.2018 г. № 84-р.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4"/>
          <w:szCs w:val="24"/>
        </w:rPr>
      </w:pPr>
      <w:r>
        <w:rPr>
          <w:rFonts w:ascii="TimesNewRoman" w:hAnsi="TimesNewRoman" w:eastAsia="TimesNewRoman" w:cs="TimesNewRoman"/>
          <w:b/>
          <w:sz w:val="28"/>
          <w:highlight w:val="none"/>
        </w:rPr>
      </w:r>
      <w:r>
        <w:rPr>
          <w:rFonts w:ascii="TimesNewRoman" w:hAnsi="TimesNewRoman" w:eastAsia="TimesNewRoman" w:cs="TimesNewRoman"/>
          <w:b/>
          <w:bCs/>
          <w:sz w:val="24"/>
          <w:szCs w:val="24"/>
        </w:rPr>
      </w:r>
      <w:r>
        <w:rPr>
          <w:rFonts w:ascii="TimesNewRoman" w:hAnsi="TimesNewRoman" w:eastAsia="TimesNewRoman" w:cs="TimesNewRoman"/>
          <w:b/>
          <w:bCs/>
          <w:sz w:val="24"/>
          <w:szCs w:val="24"/>
        </w:rPr>
      </w:r>
    </w:p>
    <w:p>
      <w:pPr>
        <w:pStyle w:val="731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/>
          <w:sz w:val="28"/>
        </w:rPr>
        <w:t xml:space="preserve">3. Сведения о взаимосвязи со стратегическими приоритетами, целями и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</w:rPr>
      </w:r>
    </w:p>
    <w:p>
      <w:pPr>
        <w:pStyle w:val="731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показателями государственных программ Российской Федерации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731"/>
        <w:contextualSpacing w:val="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pStyle w:val="731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</w:rPr>
        <w:t xml:space="preserve">Государственная программа связана </w:t>
      </w:r>
      <w:r>
        <w:rPr>
          <w:rFonts w:ascii="TimesNewRoman" w:hAnsi="TimesNewRoman" w:eastAsia="TimesNewRoman" w:cs="TimesNewRoman"/>
          <w:sz w:val="28"/>
        </w:rPr>
        <w:t xml:space="preserve">со стратегическими приоритетами, целями и показателями государственной программы Российской Федерации </w:t>
      </w:r>
      <w:r>
        <w:rPr>
          <w:sz w:val="28"/>
          <w:szCs w:val="28"/>
        </w:rPr>
        <w:t xml:space="preserve">государственной программы Российской Федерации «Охрана окружающей среды», утвержденной </w:t>
      </w:r>
      <w:r>
        <w:rPr>
          <w:sz w:val="28"/>
          <w:szCs w:val="28"/>
        </w:rPr>
        <w:t xml:space="preserve">постановлением Правительства Российской Федерации от 15.04.2014 № 326.</w:t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731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731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4. Задачи (направления) государственной программы, способы их эффективного решения</w:t>
      </w:r>
      <w:r>
        <w:rPr>
          <w:rFonts w:ascii="TimesNewRoman" w:hAnsi="TimesNewRoman" w:eastAsia="TimesNewRoman" w:cs="TimesNewRoman"/>
          <w:b/>
          <w:sz w:val="24"/>
        </w:rPr>
      </w:r>
      <w:r>
        <w:rPr>
          <w:rFonts w:ascii="TimesNewRoman" w:hAnsi="TimesNewRoman" w:eastAsia="TimesNewRoman" w:cs="TimesNewRoman"/>
          <w:b/>
          <w:sz w:val="24"/>
        </w:rPr>
      </w:r>
    </w:p>
    <w:p>
      <w:pPr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</w:rPr>
      </w:pPr>
      <w:r>
        <w:rPr>
          <w:rFonts w:ascii="TimesNewRoman" w:hAnsi="TimesNewRoman" w:eastAsia="TimesNewRoman" w:cs="TimesNewRoman"/>
          <w:b/>
          <w:sz w:val="28"/>
          <w:highlight w:val="none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sz w:val="28"/>
        </w:rPr>
        <w:t xml:space="preserve">Задачами (направлениями) государственной программы 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создание условий для формирования комплексной системы обращения с твердыми коммунальными отходами;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улучшение качества окружающей среды в связи с ликвидацией несанкционированных свалок.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Государственная программа направлена на достижение следующих целевых показателей: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2 раза;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ликвидацию несанкционированных свалок.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Для достижения указанных целевых показателей реализуются мероприятия по следующим направлениям: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</w:t>
      </w:r>
      <w:r>
        <w:rPr>
          <w:rFonts w:ascii="TimesNewRoman" w:hAnsi="TimesNewRoman" w:eastAsia="TimesNewRoman" w:cs="TimesNewRoman"/>
          <w:sz w:val="28"/>
          <w:szCs w:val="28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возмещение 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/>
    </w:p>
    <w:p>
      <w:pPr>
        <w:contextualSpacing w:val="0"/>
        <w:ind w:left="0" w:firstLine="709"/>
        <w:jc w:val="both"/>
        <w:spacing w:before="0" w:after="0" w:line="240" w:lineRule="auto"/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возмещение недополученных доходов концессионера;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/>
    </w:p>
    <w:p>
      <w:pPr>
        <w:contextualSpacing w:val="0"/>
        <w:ind w:left="0" w:firstLine="709"/>
        <w:jc w:val="both"/>
        <w:spacing w:before="0" w:after="0" w:line="240" w:lineRule="auto"/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актуализация территориальной схемы обращения с отходами, в том числе ее электронной модели;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/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ликвидация несанкционированных свалок.</w:t>
      </w:r>
      <w:r>
        <w:rPr>
          <w:sz w:val="28"/>
          <w:szCs w:val="28"/>
        </w:rPr>
        <w:t xml:space="preserve">».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pStyle w:val="731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sz w:val="28"/>
        </w:rPr>
        <w:t xml:space="preserve">2) </w:t>
      </w:r>
      <w:r>
        <w:rPr>
          <w:rFonts w:ascii="TimesNewRoman" w:hAnsi="TimesNewRoman" w:eastAsia="TimesNewRoman" w:cs="TimesNewRoman"/>
          <w:sz w:val="28"/>
        </w:rPr>
        <w:t xml:space="preserve">раздел II «Обоснование необходимости разработки государственной программы», </w:t>
      </w:r>
      <w:r>
        <w:rPr>
          <w:rFonts w:ascii="TimesNewRoman" w:hAnsi="TimesNewRoman" w:eastAsia="TimesNewRoman" w:cs="TimesNewRoman"/>
          <w:sz w:val="28"/>
        </w:rPr>
        <w:t xml:space="preserve">раздел IV «Система основных мероприятий государственной программы»</w:t>
      </w:r>
      <w:r>
        <w:rPr>
          <w:rFonts w:ascii="TimesNewRoman" w:hAnsi="TimesNewRoman" w:eastAsia="TimesNewRoman" w:cs="TimesNewRoman"/>
          <w:sz w:val="28"/>
        </w:rPr>
        <w:t xml:space="preserve"> </w:t>
      </w:r>
      <w:r>
        <w:rPr>
          <w:rFonts w:ascii="TimesNewRoman" w:hAnsi="TimesNewRoman" w:eastAsia="TimesNewRoman" w:cs="TimesNewRoman"/>
          <w:b w:val="0"/>
          <w:bCs w:val="0"/>
          <w:sz w:val="28"/>
        </w:rPr>
        <w:t xml:space="preserve">признать утратившими силу</w:t>
      </w:r>
      <w:r>
        <w:rPr>
          <w:rFonts w:ascii="TimesNewRoman" w:hAnsi="TimesNewRoman" w:eastAsia="TimesNewRoman" w:cs="TimesNewRoman"/>
          <w:b w:val="0"/>
          <w:bCs w:val="0"/>
          <w:sz w:val="28"/>
        </w:rPr>
        <w:t xml:space="preserve">;</w:t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sz w:val="28"/>
          <w:szCs w:val="28"/>
        </w:rPr>
      </w:r>
    </w:p>
    <w:p>
      <w:pPr>
        <w:pStyle w:val="731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b w:val="0"/>
          <w:bCs w:val="0"/>
          <w:sz w:val="28"/>
        </w:rPr>
        <w:t xml:space="preserve">3) приложение № 1 к государственной программе «Цели, задачи и целевые индикаторы государственной программы Новосибирской области «</w:t>
      </w:r>
      <w:r>
        <w:rPr>
          <w:rFonts w:ascii="TimesNewRoman" w:hAnsi="TimesNewRoman" w:eastAsia="TimesNewRoman" w:cs="TimesNewRoman"/>
          <w:b w:val="0"/>
          <w:bCs w:val="0"/>
          <w:sz w:val="28"/>
        </w:rPr>
        <w:t xml:space="preserve">Развитие сист</w:t>
      </w:r>
      <w:r>
        <w:rPr>
          <w:rFonts w:ascii="TimesNewRoman" w:hAnsi="TimesNewRoman" w:eastAsia="TimesNewRoman" w:cs="TimesNewRoman"/>
          <w:sz w:val="28"/>
        </w:rPr>
        <w:t xml:space="preserve">емы обращения с отходами производства и потребления в Новосибирской области</w:t>
      </w:r>
      <w:r>
        <w:rPr>
          <w:rFonts w:ascii="TimesNewRoman" w:hAnsi="TimesNewRoman" w:eastAsia="TimesNewRoman" w:cs="TimesNewRoman"/>
          <w:b/>
          <w:bCs/>
          <w:sz w:val="28"/>
        </w:rPr>
        <w:t xml:space="preserve">»</w:t>
      </w:r>
      <w:r>
        <w:rPr>
          <w:rFonts w:ascii="TimesNewRoman" w:hAnsi="TimesNewRoman" w:eastAsia="TimesNewRoman" w:cs="TimesNewRoman"/>
          <w:sz w:val="28"/>
        </w:rPr>
        <w:t xml:space="preserve"> изложить в редакции согласно приложению № 1 к настоящему постановлению;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sz w:val="28"/>
        </w:rPr>
        <w:t xml:space="preserve">4)</w:t>
      </w:r>
      <w:r>
        <w:rPr>
          <w:rFonts w:ascii="TimesNewRoman" w:hAnsi="TimesNewRoman" w:eastAsia="TimesNewRoman" w:cs="TimesNewRoman"/>
          <w:sz w:val="28"/>
        </w:rPr>
        <w:t xml:space="preserve"> приложение № 2 к государственной программе «Основные мероприятия государственной программы Новосибирской области «</w:t>
      </w:r>
      <w:r>
        <w:rPr>
          <w:rFonts w:ascii="TimesNewRoman" w:hAnsi="TimesNewRoman" w:eastAsia="TimesNewRoman" w:cs="TimesNewRoman"/>
          <w:sz w:val="28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rFonts w:ascii="TimesNewRoman" w:hAnsi="TimesNewRoman" w:eastAsia="TimesNewRoman" w:cs="TimesNewRoman"/>
          <w:sz w:val="28"/>
        </w:rPr>
        <w:t xml:space="preserve">» </w:t>
      </w:r>
      <w:r>
        <w:rPr>
          <w:rFonts w:ascii="TimesNewRoman" w:hAnsi="TimesNewRoman" w:eastAsia="TimesNewRoman" w:cs="TimesNewRoman"/>
          <w:b w:val="0"/>
          <w:bCs w:val="0"/>
          <w:sz w:val="28"/>
        </w:rPr>
        <w:t xml:space="preserve">признать утратившими силу</w:t>
      </w:r>
      <w:r>
        <w:rPr>
          <w:rFonts w:ascii="TimesNewRoman" w:hAnsi="TimesNewRoman" w:eastAsia="TimesNewRoman" w:cs="TimesNewRoman"/>
          <w:sz w:val="28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</w:rPr>
        <w:t xml:space="preserve">5</w:t>
      </w:r>
      <w:r>
        <w:rPr>
          <w:rFonts w:ascii="TimesNewRoman" w:hAnsi="TimesNewRoman" w:eastAsia="TimesNewRoman" w:cs="TimesNewRoman"/>
          <w:sz w:val="28"/>
        </w:rPr>
        <w:t xml:space="preserve">) приложение № 2.1 к государственной программе «Основные мероприятия государственной программы Новосибирской области «</w:t>
      </w:r>
      <w:r>
        <w:rPr>
          <w:rFonts w:ascii="TimesNewRoman" w:hAnsi="TimesNewRoman" w:eastAsia="TimesNewRoman" w:cs="TimesNewRoman"/>
          <w:sz w:val="28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rFonts w:ascii="TimesNewRoman" w:hAnsi="TimesNewRoman" w:eastAsia="TimesNewRoman" w:cs="TimesNewRoman"/>
          <w:sz w:val="28"/>
        </w:rPr>
        <w:t xml:space="preserve">» </w:t>
      </w:r>
      <w:r>
        <w:rPr>
          <w:rFonts w:ascii="TimesNewRoman" w:hAnsi="TimesNewRoman" w:eastAsia="TimesNewRoman" w:cs="TimesNewRoman"/>
          <w:sz w:val="28"/>
        </w:rPr>
        <w:t xml:space="preserve">изложить в редакции согласно приложению № 2 к настоящему постановлению;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pStyle w:val="731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</w:rPr>
        <w:t xml:space="preserve">6) приложение № 4 к государственной программе «Сводные финансовые затраты государственной программы Новосибирской области «</w:t>
      </w:r>
      <w:r>
        <w:rPr>
          <w:rFonts w:ascii="TimesNewRoman" w:hAnsi="TimesNewRoman" w:eastAsia="TimesNewRoman" w:cs="TimesNewRoman"/>
          <w:sz w:val="28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rFonts w:ascii="TimesNewRoman" w:hAnsi="TimesNewRoman" w:eastAsia="TimesNewRoman" w:cs="TimesNewRoman"/>
          <w:sz w:val="28"/>
        </w:rPr>
        <w:t xml:space="preserve">» </w:t>
      </w:r>
      <w:r>
        <w:rPr>
          <w:rFonts w:ascii="TimesNewRoman" w:hAnsi="TimesNewRoman" w:eastAsia="TimesNewRoman" w:cs="TimesNewRoman"/>
          <w:sz w:val="28"/>
        </w:rPr>
        <w:t xml:space="preserve">изложить в редакции согласно приложению № 3 к настоящему постановлению.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</w:pPr>
      <w:r>
        <w:rPr>
          <w:rFonts w:ascii="TimesNewRoman" w:hAnsi="TimesNewRoman" w:eastAsia="TimesNewRoman" w:cs="TimesNewRoman"/>
          <w:sz w:val="28"/>
          <w:highlight w:val="none"/>
        </w:rPr>
        <w:t xml:space="preserve">2. Приложение № 1 к государственной программе «Цели, задачи и целевые индикаторы государственной программы Новосибирской области «</w:t>
      </w:r>
      <w:r>
        <w:rPr>
          <w:rFonts w:ascii="TimesNewRoman" w:hAnsi="TimesNewRoman" w:eastAsia="TimesNewRoman" w:cs="TimesNewRoman"/>
          <w:sz w:val="28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», приложение № 2.1 к государственной программе «Основные мероприятия государственной программы Новоси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бирской области «</w:t>
      </w:r>
      <w:r>
        <w:rPr>
          <w:rFonts w:ascii="TimesNewRoman" w:hAnsi="TimesNewRoman" w:eastAsia="TimesNewRoman" w:cs="TimesNewRoman"/>
          <w:sz w:val="28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», приложение № 4 к государственной программе «Сводные финансовые затраты государственной программы Новосибирской области «</w:t>
      </w:r>
      <w:r>
        <w:rPr>
          <w:rFonts w:ascii="TimesNewRoman" w:hAnsi="TimesNewRoman" w:eastAsia="TimesNewRoman" w:cs="TimesNewRoman"/>
          <w:sz w:val="28"/>
        </w:rPr>
        <w:t xml:space="preserve">Развитие системы обращения с отходами производства и потребления в Новосибирской области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»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 признать утратившими силу с 01.06.2024.</w:t>
      </w:r>
      <w:r>
        <w:rPr>
          <w:rFonts w:ascii="TimesNewRoman" w:hAnsi="TimesNewRoman" w:eastAsia="TimesNewRoman" w:cs="TimesNewRoman"/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>
        <w:t xml:space="preserve">Д.Н. Архипов</w:t>
      </w:r>
      <w:r/>
    </w:p>
    <w:p>
      <w:pPr>
        <w:widowControl w:val="off"/>
      </w:pPr>
      <w:r>
        <w:t xml:space="preserve">238 76 13</w:t>
      </w:r>
      <w:r/>
    </w:p>
    <w:p>
      <w:pPr>
        <w:widowControl w:val="off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2894543</wp:posOffset>
                </wp:positionH>
                <wp:positionV relativeFrom="paragraph">
                  <wp:posOffset>-358911</wp:posOffset>
                </wp:positionV>
                <wp:extent cx="421821" cy="244929"/>
                <wp:effectExtent l="12700" t="1270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21821" cy="2449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999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227.92pt;mso-position-horizontal:absolute;mso-position-vertical-relative:text;margin-top:-28.26pt;mso-position-vertical:absolute;width:33.21pt;height:19.29pt;mso-wrap-distance-left:9.07pt;mso-wrap-distance-top:0.00pt;mso-wrap-distance-right:9.07pt;mso-wrap-distance-bottom:0.00pt;visibility:visible;" fillcolor="#FFFFFF" strokecolor="#27405E" strokeweight="2.00pt">
                <v:fill opacity="-65178f"/>
                <v:stroke dashstyle="solid"/>
              </v:shape>
            </w:pict>
          </mc:Fallback>
        </mc:AlternateContent>
      </w:r>
      <w:r/>
    </w:p>
    <w:tbl>
      <w:tblPr>
        <w:tblW w:w="988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2694"/>
        <w:gridCol w:w="2409"/>
      </w:tblGrid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В.М. </w:t>
            </w:r>
            <w:r>
              <w:rPr>
                <w:sz w:val="24"/>
                <w:szCs w:val="24"/>
              </w:rPr>
              <w:t xml:space="preserve">Знатков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юстиции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 </w:t>
            </w:r>
            <w:r>
              <w:rPr>
                <w:sz w:val="24"/>
                <w:szCs w:val="24"/>
              </w:rPr>
              <w:t xml:space="preserve">Деркач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Губернатора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</w:t>
            </w:r>
            <w:r>
              <w:rPr>
                <w:sz w:val="24"/>
                <w:szCs w:val="24"/>
              </w:rPr>
              <w:t xml:space="preserve">Сёмка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экономического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Решетников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shd w:val="clear" w:color="ffffff" w:fill="ffffff"/>
            <w:tcW w:w="47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министра природных ресурсов и экологии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69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409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Шестернин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жилищно-коммунального хозяйства и энергетики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(подпись, 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 Архипов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10"/>
  </w:num>
  <w:num w:numId="12">
    <w:abstractNumId w:val="12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  <w:num w:numId="24">
    <w:abstractNumId w:val="7"/>
  </w:num>
  <w:num w:numId="25">
    <w:abstractNumId w:val="24"/>
  </w:num>
  <w:num w:numId="26">
    <w:abstractNumId w:val="14"/>
  </w:num>
  <w:num w:numId="27">
    <w:abstractNumId w:val="16"/>
  </w:num>
  <w:num w:numId="28">
    <w:abstractNumId w:val="0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32">
    <w:name w:val="Heading 1"/>
    <w:basedOn w:val="731"/>
    <w:next w:val="731"/>
    <w:link w:val="911"/>
    <w:qFormat/>
    <w:pPr>
      <w:jc w:val="both"/>
      <w:keepNext/>
      <w:outlineLvl w:val="0"/>
    </w:pPr>
    <w:rPr>
      <w:sz w:val="24"/>
      <w:szCs w:val="24"/>
    </w:rPr>
  </w:style>
  <w:style w:type="paragraph" w:styleId="733">
    <w:name w:val="Heading 2"/>
    <w:basedOn w:val="731"/>
    <w:next w:val="731"/>
    <w:link w:val="91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4">
    <w:name w:val="Heading 3"/>
    <w:basedOn w:val="731"/>
    <w:next w:val="731"/>
    <w:link w:val="91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5">
    <w:name w:val="Heading 4"/>
    <w:basedOn w:val="731"/>
    <w:next w:val="731"/>
    <w:link w:val="91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6">
    <w:name w:val="Heading 5"/>
    <w:basedOn w:val="731"/>
    <w:next w:val="731"/>
    <w:link w:val="91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7">
    <w:name w:val="Heading 6"/>
    <w:basedOn w:val="731"/>
    <w:next w:val="731"/>
    <w:link w:val="91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8">
    <w:name w:val="Heading 7"/>
    <w:basedOn w:val="731"/>
    <w:next w:val="731"/>
    <w:link w:val="91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9">
    <w:name w:val="Heading 8"/>
    <w:basedOn w:val="731"/>
    <w:next w:val="731"/>
    <w:link w:val="91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0">
    <w:name w:val="Heading 9"/>
    <w:basedOn w:val="731"/>
    <w:next w:val="731"/>
    <w:link w:val="91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Subtitle Char"/>
    <w:basedOn w:val="741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Heading 1 Char"/>
    <w:basedOn w:val="74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1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1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1"/>
    <w:uiPriority w:val="10"/>
    <w:rPr>
      <w:sz w:val="48"/>
      <w:szCs w:val="48"/>
    </w:rPr>
  </w:style>
  <w:style w:type="paragraph" w:styleId="759">
    <w:name w:val="Subtitle"/>
    <w:basedOn w:val="731"/>
    <w:next w:val="731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basedOn w:val="741"/>
    <w:link w:val="759"/>
    <w:uiPriority w:val="11"/>
    <w:rPr>
      <w:sz w:val="24"/>
      <w:szCs w:val="24"/>
    </w:rPr>
  </w:style>
  <w:style w:type="paragraph" w:styleId="761">
    <w:name w:val="Quote"/>
    <w:basedOn w:val="731"/>
    <w:next w:val="731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1"/>
    <w:next w:val="731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Header Char"/>
    <w:basedOn w:val="741"/>
    <w:uiPriority w:val="99"/>
  </w:style>
  <w:style w:type="character" w:styleId="766" w:customStyle="1">
    <w:name w:val="Footer Char"/>
    <w:basedOn w:val="741"/>
    <w:uiPriority w:val="99"/>
  </w:style>
  <w:style w:type="paragraph" w:styleId="767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Caption Char"/>
    <w:uiPriority w:val="99"/>
  </w:style>
  <w:style w:type="table" w:styleId="769" w:customStyle="1">
    <w:name w:val="Table Grid Light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0">
    <w:name w:val="Plain Table 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4">
    <w:name w:val="footnote text"/>
    <w:basedOn w:val="731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41"/>
    <w:uiPriority w:val="99"/>
    <w:unhideWhenUsed/>
    <w:rPr>
      <w:vertAlign w:val="superscript"/>
    </w:rPr>
  </w:style>
  <w:style w:type="paragraph" w:styleId="897">
    <w:name w:val="endnote text"/>
    <w:basedOn w:val="731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41"/>
    <w:uiPriority w:val="99"/>
    <w:semiHidden/>
    <w:unhideWhenUsed/>
    <w:rPr>
      <w:vertAlign w:val="superscript"/>
    </w:rPr>
  </w:style>
  <w:style w:type="paragraph" w:styleId="900">
    <w:name w:val="toc 1"/>
    <w:basedOn w:val="731"/>
    <w:next w:val="731"/>
    <w:uiPriority w:val="39"/>
    <w:unhideWhenUsed/>
    <w:pPr>
      <w:spacing w:after="57"/>
    </w:pPr>
  </w:style>
  <w:style w:type="paragraph" w:styleId="901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2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3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4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5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6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7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8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1"/>
    <w:next w:val="731"/>
    <w:uiPriority w:val="99"/>
    <w:unhideWhenUsed/>
  </w:style>
  <w:style w:type="character" w:styleId="911" w:customStyle="1">
    <w:name w:val="Заголовок 1 Знак"/>
    <w:basedOn w:val="741"/>
    <w:link w:val="732"/>
    <w:rPr>
      <w:rFonts w:ascii="Cambria" w:hAnsi="Cambria" w:cs="Times New Roman"/>
      <w:b/>
      <w:bCs/>
      <w:sz w:val="32"/>
      <w:szCs w:val="32"/>
    </w:rPr>
  </w:style>
  <w:style w:type="character" w:styleId="912" w:customStyle="1">
    <w:name w:val="Заголовок 2 Знак"/>
    <w:basedOn w:val="741"/>
    <w:link w:val="73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3" w:customStyle="1">
    <w:name w:val="Заголовок 3 Знак"/>
    <w:basedOn w:val="741"/>
    <w:link w:val="73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4" w:customStyle="1">
    <w:name w:val="Заголовок 4 Знак"/>
    <w:basedOn w:val="741"/>
    <w:link w:val="73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5" w:customStyle="1">
    <w:name w:val="Заголовок 5 Знак"/>
    <w:basedOn w:val="741"/>
    <w:link w:val="73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6" w:customStyle="1">
    <w:name w:val="Заголовок 6 Знак"/>
    <w:basedOn w:val="741"/>
    <w:link w:val="737"/>
    <w:uiPriority w:val="99"/>
    <w:semiHidden/>
    <w:rPr>
      <w:rFonts w:ascii="Calibri" w:hAnsi="Calibri" w:cs="Times New Roman"/>
      <w:b/>
      <w:bCs/>
    </w:rPr>
  </w:style>
  <w:style w:type="character" w:styleId="917" w:customStyle="1">
    <w:name w:val="Заголовок 7 Знак"/>
    <w:basedOn w:val="741"/>
    <w:link w:val="738"/>
    <w:uiPriority w:val="99"/>
    <w:semiHidden/>
    <w:rPr>
      <w:rFonts w:ascii="Calibri" w:hAnsi="Calibri" w:cs="Times New Roman"/>
      <w:sz w:val="24"/>
      <w:szCs w:val="24"/>
    </w:rPr>
  </w:style>
  <w:style w:type="character" w:styleId="918" w:customStyle="1">
    <w:name w:val="Заголовок 8 Знак"/>
    <w:basedOn w:val="741"/>
    <w:link w:val="73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9" w:customStyle="1">
    <w:name w:val="Заголовок 9 Знак"/>
    <w:basedOn w:val="741"/>
    <w:link w:val="740"/>
    <w:uiPriority w:val="99"/>
    <w:semiHidden/>
    <w:rPr>
      <w:rFonts w:ascii="Cambria" w:hAnsi="Cambria" w:cs="Times New Roman"/>
    </w:rPr>
  </w:style>
  <w:style w:type="paragraph" w:styleId="920" w:customStyle="1">
    <w:name w:val="заголовок 1"/>
    <w:basedOn w:val="731"/>
    <w:next w:val="73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1" w:customStyle="1">
    <w:name w:val="заголовок 2"/>
    <w:basedOn w:val="731"/>
    <w:next w:val="731"/>
    <w:uiPriority w:val="99"/>
    <w:pPr>
      <w:jc w:val="center"/>
      <w:keepNext/>
      <w:outlineLvl w:val="1"/>
    </w:pPr>
    <w:rPr>
      <w:sz w:val="28"/>
      <w:szCs w:val="28"/>
    </w:rPr>
  </w:style>
  <w:style w:type="character" w:styleId="922" w:customStyle="1">
    <w:name w:val="Основной шрифт"/>
    <w:uiPriority w:val="99"/>
  </w:style>
  <w:style w:type="paragraph" w:styleId="923">
    <w:name w:val="Header"/>
    <w:basedOn w:val="731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924" w:customStyle="1">
    <w:name w:val="Верхний колонтитул Знак"/>
    <w:basedOn w:val="741"/>
    <w:link w:val="923"/>
    <w:uiPriority w:val="99"/>
    <w:rPr>
      <w:rFonts w:cs="Times New Roman"/>
      <w:sz w:val="20"/>
      <w:szCs w:val="20"/>
    </w:rPr>
  </w:style>
  <w:style w:type="character" w:styleId="925" w:customStyle="1">
    <w:name w:val="номер страницы"/>
    <w:basedOn w:val="922"/>
    <w:uiPriority w:val="99"/>
    <w:rPr>
      <w:rFonts w:cs="Times New Roman"/>
    </w:rPr>
  </w:style>
  <w:style w:type="paragraph" w:styleId="926">
    <w:name w:val="Body Text"/>
    <w:basedOn w:val="731"/>
    <w:link w:val="927"/>
    <w:pPr>
      <w:jc w:val="both"/>
    </w:pPr>
    <w:rPr>
      <w:sz w:val="28"/>
      <w:szCs w:val="28"/>
    </w:rPr>
  </w:style>
  <w:style w:type="character" w:styleId="927" w:customStyle="1">
    <w:name w:val="Основной текст Знак"/>
    <w:basedOn w:val="741"/>
    <w:link w:val="926"/>
    <w:semiHidden/>
    <w:rPr>
      <w:rFonts w:cs="Times New Roman"/>
      <w:sz w:val="20"/>
      <w:szCs w:val="20"/>
    </w:rPr>
  </w:style>
  <w:style w:type="paragraph" w:styleId="928">
    <w:name w:val="Body Text 2"/>
    <w:basedOn w:val="731"/>
    <w:link w:val="929"/>
    <w:uiPriority w:val="99"/>
    <w:pPr>
      <w:jc w:val="both"/>
    </w:pPr>
    <w:rPr>
      <w:sz w:val="28"/>
      <w:szCs w:val="28"/>
    </w:rPr>
  </w:style>
  <w:style w:type="character" w:styleId="929" w:customStyle="1">
    <w:name w:val="Основной текст 2 Знак"/>
    <w:basedOn w:val="741"/>
    <w:link w:val="928"/>
    <w:uiPriority w:val="99"/>
    <w:semiHidden/>
    <w:rPr>
      <w:rFonts w:cs="Times New Roman"/>
      <w:sz w:val="20"/>
      <w:szCs w:val="20"/>
    </w:rPr>
  </w:style>
  <w:style w:type="paragraph" w:styleId="930">
    <w:name w:val="Body Text Indent 2"/>
    <w:basedOn w:val="731"/>
    <w:link w:val="931"/>
    <w:uiPriority w:val="99"/>
    <w:pPr>
      <w:ind w:firstLine="709"/>
      <w:jc w:val="both"/>
    </w:pPr>
    <w:rPr>
      <w:sz w:val="28"/>
      <w:szCs w:val="28"/>
    </w:rPr>
  </w:style>
  <w:style w:type="character" w:styleId="931" w:customStyle="1">
    <w:name w:val="Основной текст с отступом 2 Знак"/>
    <w:basedOn w:val="741"/>
    <w:link w:val="930"/>
    <w:uiPriority w:val="99"/>
    <w:semiHidden/>
    <w:rPr>
      <w:rFonts w:cs="Times New Roman"/>
      <w:sz w:val="20"/>
      <w:szCs w:val="20"/>
    </w:rPr>
  </w:style>
  <w:style w:type="paragraph" w:styleId="932">
    <w:name w:val="Footer"/>
    <w:basedOn w:val="731"/>
    <w:link w:val="933"/>
    <w:uiPriority w:val="99"/>
    <w:pPr>
      <w:tabs>
        <w:tab w:val="center" w:pos="4153" w:leader="none"/>
        <w:tab w:val="right" w:pos="8306" w:leader="none"/>
      </w:tabs>
    </w:pPr>
  </w:style>
  <w:style w:type="character" w:styleId="933" w:customStyle="1">
    <w:name w:val="Нижний колонтитул Знак"/>
    <w:basedOn w:val="741"/>
    <w:link w:val="932"/>
    <w:uiPriority w:val="99"/>
    <w:rPr>
      <w:rFonts w:cs="Times New Roman"/>
      <w:sz w:val="20"/>
      <w:szCs w:val="20"/>
    </w:rPr>
  </w:style>
  <w:style w:type="paragraph" w:styleId="934">
    <w:name w:val="Body Text Indent 3"/>
    <w:basedOn w:val="731"/>
    <w:link w:val="93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5" w:customStyle="1">
    <w:name w:val="Основной текст с отступом 3 Знак"/>
    <w:basedOn w:val="741"/>
    <w:link w:val="934"/>
    <w:uiPriority w:val="99"/>
    <w:semiHidden/>
    <w:rPr>
      <w:rFonts w:cs="Times New Roman"/>
      <w:sz w:val="16"/>
      <w:szCs w:val="16"/>
    </w:rPr>
  </w:style>
  <w:style w:type="paragraph" w:styleId="93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3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9">
    <w:name w:val="Table Grid"/>
    <w:basedOn w:val="742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Body Text Indent"/>
    <w:basedOn w:val="731"/>
    <w:link w:val="941"/>
    <w:uiPriority w:val="99"/>
    <w:pPr>
      <w:ind w:left="283"/>
      <w:spacing w:after="120"/>
    </w:pPr>
  </w:style>
  <w:style w:type="character" w:styleId="941" w:customStyle="1">
    <w:name w:val="Основной текст с отступом Знак"/>
    <w:basedOn w:val="741"/>
    <w:link w:val="940"/>
    <w:uiPriority w:val="99"/>
    <w:semiHidden/>
    <w:rPr>
      <w:rFonts w:cs="Times New Roman"/>
      <w:sz w:val="20"/>
      <w:szCs w:val="20"/>
    </w:rPr>
  </w:style>
  <w:style w:type="paragraph" w:styleId="942">
    <w:name w:val="Balloon Text"/>
    <w:basedOn w:val="731"/>
    <w:link w:val="943"/>
    <w:semiHidden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basedOn w:val="741"/>
    <w:link w:val="942"/>
    <w:semiHidden/>
    <w:rPr>
      <w:rFonts w:ascii="Tahoma" w:hAnsi="Tahoma" w:cs="Tahoma"/>
      <w:sz w:val="16"/>
      <w:szCs w:val="16"/>
    </w:rPr>
  </w:style>
  <w:style w:type="character" w:styleId="944">
    <w:name w:val="page number"/>
    <w:basedOn w:val="741"/>
    <w:uiPriority w:val="99"/>
    <w:rPr>
      <w:rFonts w:cs="Times New Roman"/>
    </w:rPr>
  </w:style>
  <w:style w:type="table" w:styleId="94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6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47">
    <w:name w:val="Hyperlink"/>
    <w:basedOn w:val="741"/>
    <w:unhideWhenUsed/>
    <w:rPr>
      <w:rFonts w:cs="Times New Roman"/>
      <w:color w:val="0000ff"/>
      <w:u w:val="single"/>
    </w:rPr>
  </w:style>
  <w:style w:type="paragraph" w:styleId="948" w:customStyle="1">
    <w:name w:val="ConsPlusCell"/>
    <w:pPr>
      <w:spacing w:after="0" w:line="240" w:lineRule="auto"/>
    </w:pPr>
    <w:rPr>
      <w:sz w:val="28"/>
      <w:szCs w:val="28"/>
    </w:rPr>
  </w:style>
  <w:style w:type="paragraph" w:styleId="949" w:customStyle="1">
    <w:name w:val="Алексей"/>
    <w:basedOn w:val="731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50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1" w:customStyle="1">
    <w:name w:val="Основной текст_"/>
    <w:link w:val="952"/>
    <w:rPr>
      <w:sz w:val="28"/>
      <w:szCs w:val="28"/>
      <w:shd w:val="clear" w:color="auto" w:fill="ffffff"/>
    </w:rPr>
  </w:style>
  <w:style w:type="paragraph" w:styleId="952" w:customStyle="1">
    <w:name w:val="Основной текст2"/>
    <w:basedOn w:val="731"/>
    <w:link w:val="951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53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4" w:customStyle="1">
    <w:name w:val="Body Text 2.Мой Заголовок 1.Основной текст 1"/>
    <w:basedOn w:val="731"/>
    <w:pPr>
      <w:ind w:firstLine="709"/>
      <w:jc w:val="both"/>
    </w:pPr>
    <w:rPr>
      <w:sz w:val="28"/>
      <w:szCs w:val="28"/>
    </w:rPr>
  </w:style>
  <w:style w:type="paragraph" w:styleId="955">
    <w:name w:val="No Spacing"/>
    <w:link w:val="956"/>
    <w:qFormat/>
    <w:pPr>
      <w:spacing w:after="0" w:line="240" w:lineRule="auto"/>
    </w:pPr>
    <w:rPr>
      <w:rFonts w:ascii="Calibri" w:hAnsi="Calibri"/>
    </w:rPr>
  </w:style>
  <w:style w:type="character" w:styleId="956" w:customStyle="1">
    <w:name w:val="Без интервала Знак"/>
    <w:link w:val="955"/>
    <w:rPr>
      <w:rFonts w:ascii="Calibri" w:hAnsi="Calibri"/>
    </w:rPr>
  </w:style>
  <w:style w:type="character" w:styleId="957">
    <w:name w:val="FollowedHyperlink"/>
    <w:uiPriority w:val="99"/>
    <w:semiHidden/>
    <w:unhideWhenUsed/>
    <w:rPr>
      <w:color w:val="800080"/>
      <w:u w:val="single"/>
    </w:rPr>
  </w:style>
  <w:style w:type="paragraph" w:styleId="958">
    <w:name w:val="List Paragraph"/>
    <w:basedOn w:val="7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9" w:customStyle="1">
    <w:name w:val="Знак"/>
    <w:basedOn w:val="73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60">
    <w:name w:val="Title"/>
    <w:basedOn w:val="731"/>
    <w:next w:val="731"/>
    <w:link w:val="961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61" w:customStyle="1">
    <w:name w:val="Название Знак"/>
    <w:basedOn w:val="741"/>
    <w:link w:val="960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62">
    <w:name w:val="Strong"/>
    <w:uiPriority w:val="22"/>
    <w:qFormat/>
    <w:rPr>
      <w:b/>
      <w:bCs/>
    </w:rPr>
  </w:style>
  <w:style w:type="paragraph" w:styleId="963" w:customStyle="1">
    <w:name w:val="Нормальный (таблица)"/>
    <w:basedOn w:val="731"/>
    <w:next w:val="731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64">
    <w:name w:val="annotation reference"/>
    <w:uiPriority w:val="99"/>
    <w:semiHidden/>
    <w:unhideWhenUsed/>
    <w:rPr>
      <w:sz w:val="16"/>
      <w:szCs w:val="16"/>
    </w:rPr>
  </w:style>
  <w:style w:type="paragraph" w:styleId="965">
    <w:name w:val="annotation text"/>
    <w:basedOn w:val="731"/>
    <w:link w:val="966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6" w:customStyle="1">
    <w:name w:val="Текст примечания Знак"/>
    <w:basedOn w:val="741"/>
    <w:link w:val="965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7">
    <w:name w:val="annotation subject"/>
    <w:basedOn w:val="965"/>
    <w:next w:val="965"/>
    <w:link w:val="968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9" w:customStyle="1">
    <w:name w:val="apple-converted-space"/>
  </w:style>
  <w:style w:type="numbering" w:styleId="970" w:customStyle="1">
    <w:name w:val="Нет списка1"/>
    <w:next w:val="743"/>
    <w:uiPriority w:val="99"/>
    <w:semiHidden/>
    <w:unhideWhenUsed/>
  </w:style>
  <w:style w:type="paragraph" w:styleId="971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72" w:customStyle="1">
    <w:name w:val="Сетка таблицы2"/>
    <w:basedOn w:val="742"/>
    <w:next w:val="939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3" w:customStyle="1">
    <w:name w:val="Сетка таблицы3"/>
    <w:basedOn w:val="742"/>
    <w:next w:val="939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4" w:customStyle="1">
    <w:name w:val="ConsPlusNonformat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75" w:customStyle="1">
    <w:name w:val="Абзац списка1"/>
    <w:basedOn w:val="731"/>
    <w:pPr>
      <w:contextualSpacing/>
      <w:ind w:left="720"/>
    </w:pPr>
  </w:style>
  <w:style w:type="numbering" w:styleId="976" w:customStyle="1">
    <w:name w:val="Нет списка2"/>
    <w:next w:val="743"/>
    <w:uiPriority w:val="99"/>
    <w:semiHidden/>
    <w:unhideWhenUsed/>
  </w:style>
  <w:style w:type="paragraph" w:styleId="977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table" w:styleId="978" w:customStyle="1">
    <w:name w:val="Сетка таблицы4"/>
    <w:basedOn w:val="742"/>
    <w:next w:val="9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xl87"/>
    <w:basedOn w:val="7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80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81">
    <w:name w:val="Normal (Web)"/>
    <w:basedOn w:val="73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6FC47B-2C7B-4F95-92D3-267CB88D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55</cp:revision>
  <dcterms:created xsi:type="dcterms:W3CDTF">2023-10-16T07:11:00Z</dcterms:created>
  <dcterms:modified xsi:type="dcterms:W3CDTF">2024-02-14T08:20:56Z</dcterms:modified>
</cp:coreProperties>
</file>