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5670" w:leader="none"/>
        </w:tabs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№ 1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tabs>
          <w:tab w:val="left" w:pos="5670" w:leader="none"/>
        </w:tabs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tabs>
          <w:tab w:val="left" w:pos="5670" w:leader="none"/>
        </w:tabs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5670" w:leader="none"/>
        </w:tabs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«ПРИЛОЖЕНИЕ № 1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tabs>
          <w:tab w:val="left" w:pos="8670" w:leader="none"/>
        </w:tabs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государственной программе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tabs>
          <w:tab w:val="left" w:pos="8670" w:leader="none"/>
        </w:tabs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Развитие системы обращения с отходами производства и потребления в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ЦЕЛИ, ЗАДАЧИ И ЦЕЛЕВЫЕ ИНДИКАТОРЫ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Развитие системы обращения с отходами производства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и потребления в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2551"/>
        <w:gridCol w:w="1134"/>
        <w:gridCol w:w="850"/>
        <w:gridCol w:w="850"/>
        <w:gridCol w:w="850"/>
        <w:gridCol w:w="709"/>
        <w:gridCol w:w="709"/>
        <w:gridCol w:w="850"/>
        <w:gridCol w:w="850"/>
        <w:gridCol w:w="850"/>
        <w:gridCol w:w="850"/>
        <w:gridCol w:w="850"/>
        <w:gridCol w:w="1843"/>
      </w:tblGrid>
      <w:tr>
        <w:trPr/>
        <w:tc>
          <w:tcPr>
            <w:tcW w:w="1701" w:type="dxa"/>
            <w:vMerge w:val="restart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Цель/задачи, требующие решения для достижения цели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51" w:type="dxa"/>
            <w:vMerge w:val="restart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Наименование целевого индикатора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220" w:type="dxa"/>
            <w:gridSpan w:val="10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Значение целевого индикатора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vMerge w:val="restart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u w:val="none"/>
              </w:rPr>
            </w:r>
          </w:p>
        </w:tc>
      </w:tr>
      <w:tr>
        <w:trPr/>
        <w:tc>
          <w:tcPr>
            <w:vMerge w:val="continue"/>
            <w:noWrap w:val="false"/>
            <w:textDirection w:val="lrTb"/>
          </w:tcPr>
          <w:p/>
        </w:tc>
        <w:tc>
          <w:tcPr>
            <w:vMerge w:val="continue"/>
            <w:noWrap w:val="false"/>
            <w:textDirection w:val="lrTb"/>
          </w:tcPr>
          <w:p/>
        </w:tc>
        <w:tc>
          <w:tcPr>
            <w:vMerge w:val="continue"/>
            <w:noWrap w:val="false"/>
            <w:textDirection w:val="lrTb"/>
          </w:tcPr>
          <w:p/>
        </w:tc>
        <w:tc>
          <w:tcPr>
            <w:tcW w:w="8220" w:type="dxa"/>
            <w:gridSpan w:val="10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в том числе по годам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</w:tr>
      <w:tr>
        <w:trPr/>
        <w:tc>
          <w:tcPr>
            <w:vMerge w:val="continue"/>
            <w:noWrap w:val="false"/>
            <w:textDirection w:val="lrTb"/>
          </w:tcPr>
          <w:p/>
        </w:tc>
        <w:tc>
          <w:tcPr>
            <w:vMerge w:val="continue"/>
            <w:noWrap w:val="false"/>
            <w:textDirection w:val="lrTb"/>
          </w:tcPr>
          <w:p/>
        </w:tc>
        <w:tc>
          <w:tcPr>
            <w:vMerge w:val="continue"/>
            <w:noWrap w:val="false"/>
            <w:textDirection w:val="lrTb"/>
          </w:tcPr>
          <w:p/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2014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2015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2016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2017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2018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2019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2020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2021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2022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2023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</w:tr>
      <w:tr>
        <w:trPr/>
        <w:tc>
          <w:tcPr>
            <w:tcW w:w="170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3606" w:type="dxa"/>
            <w:gridSpan w:val="13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Государственная программа Новосибирской области "Развитие системы обращения с отходами производства и потребления в Новосибирской области"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701" w:type="dxa"/>
            <w:vMerge w:val="restart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Цель: совершенствование системы обращения с отходами производства и потребления в городских округах и муниципальных районах Новосибирской области, направленное на снижение негативного воздействия отходов производства и потребления на окружающую среду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1. Доля обезвреживаемых, используемых отходов от объема отходов, образованных в Новосибирской области (ежегодно)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40,36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61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62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63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64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65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Исключен с 2021 года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vMerge w:val="continue"/>
            <w:tcBorders>
              <w:bottom w:val="none" w:color="000000" w:sz="4" w:space="0"/>
            </w:tcBorders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2. 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 (ежегодно)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0,3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0,4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0,4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0,4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Целевой индикатор РП введен с 2021 года. На 2020 годы приведено базовое значение. РП реализуется до 2024 года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vMerge w:val="continue"/>
            <w:tcBorders>
              <w:bottom w:val="none" w:color="000000" w:sz="4" w:space="0"/>
            </w:tcBorders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3. Введенные в промышленную эксплуатацию мощности по утилизации твердых коммунальных отходов (нарастающим итогом)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млн тонн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Целевой индикатор введен с 2021 года. На 2020 год приведено базовое значение. Плановые значения целевого индикатора будут включены после уточнения объемов финансирования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vMerge w:val="continue"/>
            <w:tcBorders>
              <w:bottom w:val="none" w:color="000000" w:sz="4" w:space="0"/>
            </w:tcBorders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4. Доля отходов, направляемых на захоронение, в общем объеме образованных отходов в Новосибирской области (ежегодно)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59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39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38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Исключен с 2021 года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701" w:type="dxa"/>
            <w:vMerge w:val="continue"/>
            <w:tcBorders>
              <w:top w:val="none" w:color="000000" w:sz="4" w:space="0"/>
            </w:tcBorders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5. Доля твердых коммунальных отходов, направляемых на захоронение, в общем объеме образованных твердых коммунальных отходов (ежегодно)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79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78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74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68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66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65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Исключен с 2021 года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vMerge w:val="continue"/>
            <w:tcBorders>
              <w:top w:val="none" w:color="000000" w:sz="4" w:space="0"/>
            </w:tcBorders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6. 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 (ежегодно)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99,7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99,6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99,6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99,6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Целевой индикатор РП введен с 2021 года. На 2020 год приведено базовое значение. РП реализуется до 2024 года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70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Задача 1.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Внедрение глубокой обработки твердых коммунальных отходов, образующихся в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7. Доля твердых коммунальных отходов, направленных на обработку (сортировку), в общей массе образованных твердых коммунальных отходов (нарастающим итогом)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3,3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3,1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3,1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3,1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Целевой индикатор РП введен с 2019 года. На 2018, 2019 годы приведено базовое значение.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С 2021 года значение показателя приведено в соответствии с РП. РП реализуется до 2024 года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701" w:type="dxa"/>
            <w:vMerge w:val="restart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Задача 2.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Совершенствование системы управления в сфере обращения с отходами (сбор, накопление, транспортирование, обработка, утилизация, обезвреживание и размещение отходов), образующимися в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8. Доля организаций в сфере обращения с отходами, деятельность которых в единой системе регулируется региональным оператором по обращению с твердыми коммунальными отходами (нарастающим итогом)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vMerge w:val="continue"/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9. Доля населения, охваченного услугой по обращению с твердыми коммунальными отходами на территории Новосибирской области (ежегодно)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91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Целевой индикатор вводится с 2020 года, в 2019 году приведено базовое значение.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С 2021 года значение показателя приведено справочно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vMerge w:val="continue"/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10. Доля разработанных электронных моделей территориальной схемы обращения с отходами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Целевой индикатор введен с 2022 года. На 2021 год приведено базовое значение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701" w:type="dxa"/>
            <w:vMerge w:val="restart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Задача 3.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Создание условий для легитимного размещения твердых коммунальных отходов на территории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11. Введены в промышленную эксплуатацию мощности по обработке (сортировке) твердых коммунальных отходов (нарастающим итогом)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млн тонн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0,050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0,055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0,089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0,089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Мероприятие реализуется до 2024 года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vMerge w:val="continue"/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12. Доля муницип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альных районов и городских округов Новосибирской области, обеспеченных полигонами твердых коммунальных отходов, отвечающими установленным требованиям, от общего количества муниципальных районов и городских округов Новосибирской области (нарастающим итогом)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20,6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20,6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20,6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22,9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50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68,5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68,5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74,3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78,6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78,6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701" w:type="dxa"/>
            <w:vMerge w:val="restart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13. Доля твердых комму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нальных отходов, захораниваемых на полигонах твердых коммунальных отходов, отвечающих установленным требованиям, от количества твердых коммунальных отходов, образующихся у населения муниципальных районов и городских округов Новосибирской области (ежегодно)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65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89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vMerge w:val="continue"/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14. Количество полигонов твердых коммунальных отходов, отвечающих установленным требованиям (нарастающим итогом)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701" w:type="dxa"/>
            <w:vMerge w:val="restart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15. Количество площадок временного накопления твердых коммунальных отходов, созданных на территории Новосибирской области (ежегодно)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Целевой индикатор введен с 2018 года. На 2017 год приведено базовое значение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vMerge w:val="continue"/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16. Доля приобретенных контейнеров (емкостей) для накопления твердых коммунальных отходов на территории Новосибирской области от потребности (нарастающим итогом)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12,6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28,3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48,8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48,8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48,8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Целевой индикатор введен с 2019 года.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На 2018 год приведено базовое значение.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До включения в программу затрат на реализацию соответствующего мероприятия значения приведены справочно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vMerge w:val="continue"/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17. Количество приобретенных контейнеров для раздельного накопления твердых коммунальных отходов на территории Новосибирской области (ежегодно)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5 900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2 279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915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Целевой индикатор введен с 2020 года. На 2020 год значение приведено справочно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701" w:type="dxa"/>
            <w:vMerge w:val="restart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Задача 4.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Создание инфраструктуры по раздельному сбору отходов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18. Количество районов города Новосибирска, обеспеченных пунктами по раздельному сбору отходов (нарастающим итогом)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ед.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При выделении средств значения целевых показателей будут уточнены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vMerge w:val="continue"/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19. Доля муниципальных районов, городских округов Новосибирской области, на территории которых имеется не менее шести мест сбора отдельных видов опасных отходов, образующихся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у населения, оборудованных специализированными контейнерами для отработанных ртутьсодержащих ламп, гальванических элементов питания (батареек), от общего количества муниципальных районов и городских округов Новосибирской области (кроме города Новосибирска)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97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97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97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97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97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Целевой индикатор введен с 2018 года. На 2017 год приведено базовое значение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70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Задача 5.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твердыми коммунальными отходами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20. Количество колесной техники специального назначения (приобретенной или переоборудованной в рамках государственной программы), использующей компримированный природный газ в качестве моторного топлива (нарастающим итогом)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ед.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Мероприятие реализуется до 2023 года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701" w:type="dxa"/>
            <w:vMerge w:val="restart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Задача 6.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Ликвидация несанкционированных свалок отходов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21. Количество ликвидированных несанкционированных свалок в границах городов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Целевой индикатор РП введен с 2021 года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vMerge w:val="continue"/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22. Доля ликвидированных несанкционированных свалок отходов от заявленного количества свалок, образовавшихся до 01.01.2019 (за исключением объектов, ликвидируемых в рамках регионального проекта “Чистые города”)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Целевой индикатор введен с 2021 года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vMerge w:val="continue"/>
            <w:noWrap w:val="false"/>
            <w:textDirection w:val="lrTb"/>
          </w:tcPr>
          <w:p/>
        </w:tc>
        <w:tc>
          <w:tcPr>
            <w:tcW w:w="2551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25. Численность населения, качество жизни которого улучшится в связи с ликвидацией несанкционированных свалок в границах городов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тыс. чел.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709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850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Style w:val="864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Целевой индикатор РП введен с 2022 года</w:t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Применяемые сокращения: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left="142" w:firstLine="567"/>
        <w:jc w:val="both"/>
      </w:pPr>
      <w:r>
        <w:rPr>
          <w:rFonts w:ascii="Times New Roman" w:hAnsi="Times New Roman"/>
          <w:sz w:val="28"/>
          <w:szCs w:val="28"/>
          <w:highlight w:val="none"/>
        </w:rPr>
        <w:t xml:space="preserve">МЖКХиЭ НСО - министерство жилищно-коммунального хозяйства и энергетики Новосибирской области;</w:t>
      </w:r>
    </w:p>
    <w:p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РП - региональный проект «Комплексная система обращения с твердыми коммунальными отходами (Новосибирская область)».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1134" w:right="567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05029998"/>
      <w:docPartObj>
        <w:docPartGallery w:val="Page Numbers (Top of Page)"/>
        <w:docPartUnique w:val="true"/>
      </w:docPartObj>
      <w:rPr/>
    </w:sdtPr>
    <w:sdtContent>
      <w:p>
        <w:pPr>
          <w:pStyle w:val="85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85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4"/>
    <w:next w:val="854"/>
    <w:link w:val="68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5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4"/>
    <w:next w:val="854"/>
    <w:link w:val="68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5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4"/>
    <w:next w:val="854"/>
    <w:link w:val="68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5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4"/>
    <w:next w:val="854"/>
    <w:link w:val="68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5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4"/>
    <w:next w:val="854"/>
    <w:link w:val="68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5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4"/>
    <w:next w:val="854"/>
    <w:link w:val="69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5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4"/>
    <w:next w:val="854"/>
    <w:link w:val="69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4"/>
    <w:next w:val="854"/>
    <w:link w:val="69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5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4"/>
    <w:next w:val="854"/>
    <w:link w:val="69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5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4"/>
    <w:next w:val="854"/>
    <w:link w:val="70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0">
    <w:name w:val="Title Char"/>
    <w:basedOn w:val="855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5"/>
    <w:link w:val="859"/>
    <w:uiPriority w:val="99"/>
  </w:style>
  <w:style w:type="character" w:styleId="708">
    <w:name w:val="Footer Char"/>
    <w:basedOn w:val="855"/>
    <w:link w:val="861"/>
    <w:uiPriority w:val="99"/>
  </w:style>
  <w:style w:type="paragraph" w:styleId="709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1"/>
    <w:uiPriority w:val="99"/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spacing w:after="57"/>
      <w:ind w:left="0" w:right="0" w:firstLine="0"/>
    </w:pPr>
  </w:style>
  <w:style w:type="paragraph" w:styleId="844">
    <w:name w:val="toc 2"/>
    <w:basedOn w:val="854"/>
    <w:next w:val="854"/>
    <w:uiPriority w:val="39"/>
    <w:unhideWhenUsed/>
    <w:pPr>
      <w:spacing w:after="57"/>
      <w:ind w:left="283" w:right="0" w:firstLine="0"/>
    </w:pPr>
  </w:style>
  <w:style w:type="paragraph" w:styleId="845">
    <w:name w:val="toc 3"/>
    <w:basedOn w:val="854"/>
    <w:next w:val="854"/>
    <w:uiPriority w:val="39"/>
    <w:unhideWhenUsed/>
    <w:pPr>
      <w:spacing w:after="57"/>
      <w:ind w:left="567" w:right="0" w:firstLine="0"/>
    </w:pPr>
  </w:style>
  <w:style w:type="paragraph" w:styleId="846">
    <w:name w:val="toc 4"/>
    <w:basedOn w:val="854"/>
    <w:next w:val="854"/>
    <w:uiPriority w:val="39"/>
    <w:unhideWhenUsed/>
    <w:pPr>
      <w:spacing w:after="57"/>
      <w:ind w:left="850" w:right="0" w:firstLine="0"/>
    </w:pPr>
  </w:style>
  <w:style w:type="paragraph" w:styleId="847">
    <w:name w:val="toc 5"/>
    <w:basedOn w:val="854"/>
    <w:next w:val="854"/>
    <w:uiPriority w:val="39"/>
    <w:unhideWhenUsed/>
    <w:pPr>
      <w:spacing w:after="57"/>
      <w:ind w:left="1134" w:right="0" w:firstLine="0"/>
    </w:pPr>
  </w:style>
  <w:style w:type="paragraph" w:styleId="848">
    <w:name w:val="toc 6"/>
    <w:basedOn w:val="854"/>
    <w:next w:val="854"/>
    <w:uiPriority w:val="39"/>
    <w:unhideWhenUsed/>
    <w:pPr>
      <w:spacing w:after="57"/>
      <w:ind w:left="1417" w:right="0" w:firstLine="0"/>
    </w:pPr>
  </w:style>
  <w:style w:type="paragraph" w:styleId="849">
    <w:name w:val="toc 7"/>
    <w:basedOn w:val="854"/>
    <w:next w:val="854"/>
    <w:uiPriority w:val="39"/>
    <w:unhideWhenUsed/>
    <w:pPr>
      <w:spacing w:after="57"/>
      <w:ind w:left="1701" w:right="0" w:firstLine="0"/>
    </w:pPr>
  </w:style>
  <w:style w:type="paragraph" w:styleId="850">
    <w:name w:val="toc 8"/>
    <w:basedOn w:val="854"/>
    <w:next w:val="854"/>
    <w:uiPriority w:val="39"/>
    <w:unhideWhenUsed/>
    <w:pPr>
      <w:spacing w:after="57"/>
      <w:ind w:left="1984" w:right="0" w:firstLine="0"/>
    </w:pPr>
  </w:style>
  <w:style w:type="paragraph" w:styleId="851">
    <w:name w:val="toc 9"/>
    <w:basedOn w:val="854"/>
    <w:next w:val="854"/>
    <w:uiPriority w:val="39"/>
    <w:unhideWhenUsed/>
    <w:pPr>
      <w:spacing w:after="57"/>
      <w:ind w:left="2268" w:right="0" w:firstLine="0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line="256" w:lineRule="auto"/>
    </w:p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table" w:styleId="858">
    <w:name w:val="Table Grid"/>
    <w:basedOn w:val="85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9">
    <w:name w:val="Header"/>
    <w:basedOn w:val="854"/>
    <w:link w:val="860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Верхний колонтитул Знак"/>
    <w:basedOn w:val="855"/>
    <w:link w:val="859"/>
    <w:uiPriority w:val="99"/>
  </w:style>
  <w:style w:type="paragraph" w:styleId="861">
    <w:name w:val="Footer"/>
    <w:basedOn w:val="854"/>
    <w:link w:val="862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2" w:customStyle="1">
    <w:name w:val="Нижний колонтитул Знак"/>
    <w:basedOn w:val="855"/>
    <w:link w:val="861"/>
    <w:uiPriority w:val="99"/>
  </w:style>
  <w:style w:type="paragraph" w:styleId="863">
    <w:name w:val="List Paragraph"/>
    <w:basedOn w:val="854"/>
    <w:uiPriority w:val="34"/>
    <w:qFormat/>
    <w:pPr>
      <w:ind w:left="720"/>
      <w:contextualSpacing/>
    </w:pPr>
  </w:style>
  <w:style w:type="paragraph" w:styleId="864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7066-6B92-4A49-B1E6-A4D1F312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Елена Павловна</dc:creator>
  <cp:keywords/>
  <dc:description/>
  <cp:revision>8</cp:revision>
  <dcterms:created xsi:type="dcterms:W3CDTF">2022-03-04T03:33:00Z</dcterms:created>
  <dcterms:modified xsi:type="dcterms:W3CDTF">2024-02-06T05:13:11Z</dcterms:modified>
</cp:coreProperties>
</file>