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</w:p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постановление Правительства Новосибирской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 30.12.2013 № 59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-п</w:t>
      </w:r>
    </w:p>
    <w:p>
      <w:pPr>
        <w:ind w:left="-284"/>
        <w:jc w:val="center"/>
        <w:rPr>
          <w:sz w:val="28"/>
          <w:szCs w:val="28"/>
        </w:rPr>
      </w:pPr>
    </w:p>
    <w:p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4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т а н о в л я е т:</w:t>
      </w:r>
    </w:p>
    <w:p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30.12.2013 № 59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-п «О </w:t>
      </w:r>
      <w:r>
        <w:rPr>
          <w:sz w:val="28"/>
          <w:szCs w:val="28"/>
        </w:rPr>
        <w:t xml:space="preserve">возложении</w:t>
      </w:r>
      <w:r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государственно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Новосибирской области «Управление контрактной системы» 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</w:p>
    <w:p>
      <w:pPr>
        <w:spacing w:after="1" w:line="280" w:lineRule="atLeast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 В пункте 4 слова «органы исполнительной власти» заменить словами «областные исполнительные органы»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spacing w:after="1" w:line="280" w:lineRule="atLeast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bookmarkStart w:id="0" w:name="_GoBack"/>
      <w:bookmarkEnd w:id="0"/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 Порядке взаимодействия заказчиков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овосибирской области с уполномоченным учреждением в сфере закупок товаров, работ, услуг для обеспечения государственных нужд Новосибирской области:</w:t>
      </w:r>
    </w:p>
    <w:p>
      <w:pPr>
        <w:spacing w:after="1" w:line="280" w:lineRule="atLeast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абзаце втором, в подпункте 6.1 пункта 2</w:t>
      </w:r>
      <w:r>
        <w:rPr>
          <w:sz w:val="28"/>
          <w:szCs w:val="28"/>
        </w:rPr>
        <w:t xml:space="preserve">, в подпункте 2 пункта 3</w:t>
      </w:r>
      <w:r>
        <w:rPr>
          <w:sz w:val="28"/>
          <w:szCs w:val="28"/>
        </w:rPr>
        <w:t xml:space="preserve"> слова «государственной власти» исключить; </w:t>
      </w:r>
    </w:p>
    <w:p>
      <w:pPr>
        <w:spacing w:after="1" w:line="280" w:lineRule="atLeast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</w:t>
      </w:r>
      <w:r>
        <w:rPr>
          <w:sz w:val="28"/>
          <w:szCs w:val="28"/>
        </w:rPr>
        <w:t xml:space="preserve">одпункт 2 пункта 7 </w:t>
      </w:r>
      <w:r>
        <w:rPr>
          <w:sz w:val="28"/>
          <w:szCs w:val="28"/>
        </w:rPr>
        <w:t xml:space="preserve">изложить в следующей редакции</w:t>
      </w:r>
      <w:r>
        <w:rPr>
          <w:sz w:val="28"/>
          <w:szCs w:val="28"/>
        </w:rPr>
        <w:t xml:space="preserve">:</w:t>
      </w:r>
    </w:p>
    <w:p>
      <w:pPr>
        <w:spacing w:after="1" w:line="280" w:lineRule="atLeast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проект контракта с обязательным приложением в виде отдельного документа (документов) описания объекта закупки, а также порядка рассмотрения и оценки заявок на участие в конкурсах (при осуществлении закупки конкурентным способом определения поставщиков (подрядчиков, исполнителей) в форме открытого конкурса в электронной форме) в соответствии с Законом о контрактной системе (при осуществлении закупки конкурентным способом в форме открытого конкурса в электронной форме);</w:t>
      </w:r>
      <w:r>
        <w:rPr>
          <w:sz w:val="28"/>
          <w:szCs w:val="28"/>
        </w:rPr>
        <w:t xml:space="preserve">»;</w:t>
      </w:r>
    </w:p>
    <w:p>
      <w:pPr>
        <w:spacing w:after="1" w:line="280" w:lineRule="atLeast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абзаце третьем пункта 8 после слов «единой информационной системе» дополнить словами «в сфере закупок (далее – единая информационная система)»;</w:t>
      </w:r>
    </w:p>
    <w:p>
      <w:pPr>
        <w:spacing w:after="1" w:line="280" w:lineRule="atLeast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</w:t>
      </w:r>
      <w:r>
        <w:rPr>
          <w:sz w:val="28"/>
          <w:szCs w:val="28"/>
        </w:rPr>
        <w:t xml:space="preserve"> пункте 9: </w:t>
      </w:r>
    </w:p>
    <w:p>
      <w:pPr>
        <w:spacing w:after="1" w:line="280" w:lineRule="atLeast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4 слова «в течение» заменить словами «не позднее»</w:t>
      </w:r>
      <w:r>
        <w:rPr>
          <w:sz w:val="28"/>
          <w:szCs w:val="28"/>
        </w:rPr>
        <w:t xml:space="preserve">;</w:t>
      </w:r>
    </w:p>
    <w:p>
      <w:pPr>
        <w:spacing w:after="1" w:line="280" w:lineRule="atLeast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 xml:space="preserve">третьем </w:t>
      </w:r>
      <w:r>
        <w:rPr>
          <w:sz w:val="28"/>
          <w:szCs w:val="28"/>
        </w:rPr>
        <w:t xml:space="preserve">подпункта 6</w:t>
      </w:r>
      <w:r>
        <w:rPr>
          <w:sz w:val="28"/>
          <w:szCs w:val="28"/>
        </w:rPr>
        <w:t xml:space="preserve"> слова «, направляет» исключить;</w:t>
      </w:r>
      <w:r>
        <w:rPr>
          <w:sz w:val="28"/>
          <w:szCs w:val="28"/>
        </w:rPr>
        <w:t xml:space="preserve"> </w:t>
      </w:r>
    </w:p>
    <w:p>
      <w:pPr>
        <w:spacing w:after="1" w:line="280" w:lineRule="atLeast"/>
        <w:ind w:right="-2" w:firstLine="710"/>
        <w:jc w:val="both"/>
        <w:rPr>
          <w:sz w:val="28"/>
        </w:rPr>
      </w:pPr>
      <w:r>
        <w:rPr>
          <w:sz w:val="28"/>
          <w:szCs w:val="28"/>
        </w:rPr>
        <w:t xml:space="preserve">5) в</w:t>
      </w:r>
      <w:r>
        <w:rPr>
          <w:sz w:val="28"/>
          <w:szCs w:val="28"/>
        </w:rPr>
        <w:t xml:space="preserve"> пункте 13 слова «обосновании закупок, определении условий контракта, в том числе определении начальной (максимальной) цены контракта и описании </w:t>
      </w:r>
      <w:r>
        <w:rPr>
          <w:sz w:val="28"/>
          <w:szCs w:val="28"/>
        </w:rPr>
        <w:t xml:space="preserve">объекта закупки» заменить словами: «формировании документов, направляемых в уполномоченное учреждение в соответствии с пунктом 7 настоящего Порядка».</w:t>
      </w:r>
    </w:p>
    <w:p>
      <w:pPr>
        <w:ind w:right="-2" w:firstLine="710"/>
        <w:rPr>
          <w:sz w:val="28"/>
        </w:rPr>
      </w:pPr>
    </w:p>
    <w:p>
      <w:pPr>
        <w:ind w:right="-2" w:firstLine="710"/>
        <w:rPr>
          <w:sz w:val="28"/>
        </w:rPr>
      </w:pPr>
    </w:p>
    <w:p>
      <w:pPr>
        <w:ind w:left="-284" w:right="-2"/>
        <w:rPr>
          <w:sz w:val="28"/>
          <w:szCs w:val="28"/>
        </w:rPr>
      </w:pP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>
      <w:pPr>
        <w:ind w:left="-284" w:right="-284"/>
        <w:rPr>
          <w:sz w:val="28"/>
          <w:szCs w:val="20"/>
        </w:rPr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С.Л. Шарпф</w:t>
      </w:r>
    </w:p>
    <w:p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238 63 84</w:t>
      </w:r>
    </w:p>
    <w:p>
      <w:pPr>
        <w:ind w:right="-284"/>
        <w:rPr>
          <w:sz w:val="20"/>
          <w:szCs w:val="20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</w:p>
    <w:tbl>
      <w:tblPr>
        <w:tblStyle w:val="af8"/>
        <w:tblW w:w="31448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64"/>
        <w:gridCol w:w="284"/>
      </w:tblGrid>
      <w:tr>
        <w:tc>
          <w:tcPr>
            <w:tcW w:w="31164" w:type="dxa"/>
            <w:gridSpan w:val="2"/>
          </w:tcPr>
          <w:p>
            <w:pPr>
              <w:tabs>
                <w:tab w:val="left" w:pos="9315"/>
              </w:tabs>
              <w:rPr>
                <w:sz w:val="28"/>
                <w:szCs w:val="28"/>
                <w:lang w:eastAsia="en-US"/>
              </w:rPr>
            </w:pPr>
          </w:p>
        </w:tc>
      </w:tr>
      <w:tr>
        <w:trPr>
          <w:gridAfter w:val="1"/>
        </w:trPr>
        <w:tc>
          <w:tcPr>
            <w:tcW w:w="31164" w:type="dxa"/>
          </w:tcPr>
          <w:tbl>
            <w:tblPr>
              <w:tblStyle w:val="af8"/>
              <w:tblW w:w="1010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6134"/>
              <w:gridCol w:w="510"/>
              <w:gridCol w:w="3459"/>
            </w:tblGrid>
            <w:tr>
              <w:tc>
                <w:tcPr>
                  <w:tcW w:w="6134" w:type="dxa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В.М. Знатков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«___»________2023 г.</w:t>
                  </w:r>
                </w:p>
              </w:tc>
            </w:tr>
            <w:tr>
              <w:tc>
                <w:tcPr>
                  <w:tcW w:w="6134" w:type="dxa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юстиции Новосибирской области</w:t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Т.Н. Деркач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«___»________2023 г.</w:t>
                  </w:r>
                </w:p>
              </w:tc>
            </w:tr>
            <w:tr>
              <w:tc>
                <w:tcPr>
                  <w:tcW w:w="6134" w:type="dxa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контрольного управления Новосибирской области </w:t>
                  </w: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С.Л. Шарпф</w:t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«___»_______2023 г.</w:t>
                  </w:r>
                </w:p>
              </w:tc>
            </w:tr>
            <w:tr>
              <w:tc>
                <w:tcPr>
                  <w:tcW w:w="6134" w:type="dxa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Директор государственного казенного учреждения Новосибирской области «Управление контрактной системы» </w:t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отдела административного производства контрольного управления Новосибирской области</w:t>
                  </w:r>
                </w:p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А.Ю. Литвинов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«___»________2023 г.                 </w:t>
                  </w: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</w:t>
                  </w: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Н.В. Грачева</w:t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«___»________2023 г.</w:t>
                  </w:r>
                </w:p>
              </w:tc>
            </w:tr>
          </w:tbl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>
      <w:pPr>
        <w:ind w:right="-284"/>
      </w:pPr>
    </w:p>
    <w:p>
      <w:pPr>
        <w:ind w:right="-284"/>
      </w:pPr>
    </w:p>
    <w:p>
      <w:pPr>
        <w:ind w:right="-284"/>
      </w:pPr>
    </w:p>
    <w:sectPr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6290C456">
      <w:start w:val="1"/>
      <w:numFmt w:val="decimal"/>
      <w:lvlText w:val="%1."/>
      <w:lvlJc w:val="left"/>
      <w:pPr>
        <w:ind w:left="785" w:hanging="360"/>
      </w:pPr>
      <w:rPr>
        <w:rFonts w:hint="default" w:eastAsia="Times New Roman"/>
        <w:sz w:val="28"/>
        <w:szCs w:val="28"/>
      </w:rPr>
    </w:lvl>
    <w:lvl w:ilvl="1" w:tplc="B1BCE5C8">
      <w:start w:val="1"/>
      <w:numFmt w:val="lowerLetter"/>
      <w:lvlText w:val="%2."/>
      <w:lvlJc w:val="left"/>
      <w:pPr>
        <w:ind w:left="1505" w:hanging="360"/>
      </w:pPr>
    </w:lvl>
    <w:lvl w:ilvl="2" w:tplc="DA78B614">
      <w:start w:val="1"/>
      <w:numFmt w:val="lowerRoman"/>
      <w:lvlText w:val="%3."/>
      <w:lvlJc w:val="right"/>
      <w:pPr>
        <w:ind w:left="2225" w:hanging="180"/>
      </w:pPr>
    </w:lvl>
    <w:lvl w:ilvl="3" w:tplc="CA62863C">
      <w:start w:val="1"/>
      <w:numFmt w:val="decimal"/>
      <w:lvlText w:val="%4."/>
      <w:lvlJc w:val="left"/>
      <w:pPr>
        <w:ind w:left="2945" w:hanging="360"/>
      </w:pPr>
    </w:lvl>
    <w:lvl w:ilvl="4" w:tplc="4CCCAE5C">
      <w:start w:val="1"/>
      <w:numFmt w:val="lowerLetter"/>
      <w:lvlText w:val="%5."/>
      <w:lvlJc w:val="left"/>
      <w:pPr>
        <w:ind w:left="3665" w:hanging="360"/>
      </w:pPr>
    </w:lvl>
    <w:lvl w:ilvl="5" w:tplc="7AA21C90">
      <w:start w:val="1"/>
      <w:numFmt w:val="lowerRoman"/>
      <w:lvlText w:val="%6."/>
      <w:lvlJc w:val="right"/>
      <w:pPr>
        <w:ind w:left="4385" w:hanging="180"/>
      </w:pPr>
    </w:lvl>
    <w:lvl w:ilvl="6" w:tplc="06B6C3D2">
      <w:start w:val="1"/>
      <w:numFmt w:val="decimal"/>
      <w:lvlText w:val="%7."/>
      <w:lvlJc w:val="left"/>
      <w:pPr>
        <w:ind w:left="5105" w:hanging="360"/>
      </w:pPr>
    </w:lvl>
    <w:lvl w:ilvl="7" w:tplc="C76AA9DE">
      <w:start w:val="1"/>
      <w:numFmt w:val="lowerLetter"/>
      <w:lvlText w:val="%8."/>
      <w:lvlJc w:val="left"/>
      <w:pPr>
        <w:ind w:left="5825" w:hanging="360"/>
      </w:pPr>
    </w:lvl>
    <w:lvl w:ilvl="8" w:tplc="5E041D90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multiLevelType w:val="hybridMultilevel"/>
    <w:lvl w:ilvl="0" w:tplc="12AA70C4">
      <w:start w:val="1"/>
      <w:numFmt w:val="decimal"/>
      <w:lvlText w:val="%1."/>
      <w:lvlJc w:val="left"/>
      <w:pPr>
        <w:ind w:left="720" w:hanging="360"/>
      </w:pPr>
    </w:lvl>
    <w:lvl w:ilvl="1" w:tplc="A1F6F8AC">
      <w:start w:val="1"/>
      <w:numFmt w:val="lowerLetter"/>
      <w:lvlText w:val="%2."/>
      <w:lvlJc w:val="left"/>
      <w:pPr>
        <w:ind w:left="1440" w:hanging="360"/>
      </w:pPr>
    </w:lvl>
    <w:lvl w:ilvl="2" w:tplc="71BCC13C">
      <w:start w:val="1"/>
      <w:numFmt w:val="lowerRoman"/>
      <w:lvlText w:val="%3."/>
      <w:lvlJc w:val="right"/>
      <w:pPr>
        <w:ind w:left="2160" w:hanging="180"/>
      </w:pPr>
    </w:lvl>
    <w:lvl w:ilvl="3" w:tplc="D59C5D88">
      <w:start w:val="1"/>
      <w:numFmt w:val="decimal"/>
      <w:lvlText w:val="%4."/>
      <w:lvlJc w:val="left"/>
      <w:pPr>
        <w:ind w:left="2880" w:hanging="360"/>
      </w:pPr>
    </w:lvl>
    <w:lvl w:ilvl="4" w:tplc="AAA293D8">
      <w:start w:val="1"/>
      <w:numFmt w:val="lowerLetter"/>
      <w:lvlText w:val="%5."/>
      <w:lvlJc w:val="left"/>
      <w:pPr>
        <w:ind w:left="3600" w:hanging="360"/>
      </w:pPr>
    </w:lvl>
    <w:lvl w:ilvl="5" w:tplc="585C564A">
      <w:start w:val="1"/>
      <w:numFmt w:val="lowerRoman"/>
      <w:lvlText w:val="%6."/>
      <w:lvlJc w:val="right"/>
      <w:pPr>
        <w:ind w:left="4320" w:hanging="180"/>
      </w:pPr>
    </w:lvl>
    <w:lvl w:ilvl="6" w:tplc="F15E2E84">
      <w:start w:val="1"/>
      <w:numFmt w:val="decimal"/>
      <w:lvlText w:val="%7."/>
      <w:lvlJc w:val="left"/>
      <w:pPr>
        <w:ind w:left="5040" w:hanging="360"/>
      </w:pPr>
    </w:lvl>
    <w:lvl w:ilvl="7" w:tplc="EF960114">
      <w:start w:val="1"/>
      <w:numFmt w:val="lowerLetter"/>
      <w:lvlText w:val="%8."/>
      <w:lvlJc w:val="left"/>
      <w:pPr>
        <w:ind w:left="5760" w:hanging="360"/>
      </w:pPr>
    </w:lvl>
    <w:lvl w:ilvl="8" w:tplc="C8805FC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693EDA2E">
      <w:start w:val="1"/>
      <w:numFmt w:val="decimal"/>
      <w:lvlText w:val="%1."/>
      <w:lvlJc w:val="left"/>
      <w:pPr>
        <w:ind w:left="644" w:hanging="360"/>
      </w:pPr>
      <w:rPr>
        <w:rFonts w:hint="default" w:eastAsia="Times New Roman"/>
        <w:sz w:val="24"/>
      </w:rPr>
    </w:lvl>
    <w:lvl w:ilvl="1" w:tplc="CF3019D8">
      <w:start w:val="1"/>
      <w:numFmt w:val="lowerLetter"/>
      <w:lvlText w:val="%2."/>
      <w:lvlJc w:val="left"/>
      <w:pPr>
        <w:ind w:left="1364" w:hanging="360"/>
      </w:pPr>
    </w:lvl>
    <w:lvl w:ilvl="2" w:tplc="E05A9BDE">
      <w:start w:val="1"/>
      <w:numFmt w:val="lowerRoman"/>
      <w:lvlText w:val="%3."/>
      <w:lvlJc w:val="right"/>
      <w:pPr>
        <w:ind w:left="2084" w:hanging="180"/>
      </w:pPr>
    </w:lvl>
    <w:lvl w:ilvl="3" w:tplc="14903BDA">
      <w:start w:val="1"/>
      <w:numFmt w:val="decimal"/>
      <w:lvlText w:val="%4."/>
      <w:lvlJc w:val="left"/>
      <w:pPr>
        <w:ind w:left="2804" w:hanging="360"/>
      </w:pPr>
    </w:lvl>
    <w:lvl w:ilvl="4" w:tplc="AD14825A">
      <w:start w:val="1"/>
      <w:numFmt w:val="lowerLetter"/>
      <w:lvlText w:val="%5."/>
      <w:lvlJc w:val="left"/>
      <w:pPr>
        <w:ind w:left="3524" w:hanging="360"/>
      </w:pPr>
    </w:lvl>
    <w:lvl w:ilvl="5" w:tplc="198C7458">
      <w:start w:val="1"/>
      <w:numFmt w:val="lowerRoman"/>
      <w:lvlText w:val="%6."/>
      <w:lvlJc w:val="right"/>
      <w:pPr>
        <w:ind w:left="4244" w:hanging="180"/>
      </w:pPr>
    </w:lvl>
    <w:lvl w:ilvl="6" w:tplc="EF32D258">
      <w:start w:val="1"/>
      <w:numFmt w:val="decimal"/>
      <w:lvlText w:val="%7."/>
      <w:lvlJc w:val="left"/>
      <w:pPr>
        <w:ind w:left="4964" w:hanging="360"/>
      </w:pPr>
    </w:lvl>
    <w:lvl w:ilvl="7" w:tplc="2DEC1A46">
      <w:start w:val="1"/>
      <w:numFmt w:val="lowerLetter"/>
      <w:lvlText w:val="%8."/>
      <w:lvlJc w:val="left"/>
      <w:pPr>
        <w:ind w:left="5684" w:hanging="360"/>
      </w:pPr>
    </w:lvl>
    <w:lvl w:ilvl="8" w:tplc="74B6CBC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styleId="af0" w:customStyle="1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styleId="af3" w:customStyle="1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2417</Characters>
  <CharactersWithSpaces>2835</CharactersWithSpaces>
  <Company>PNO</Company>
  <DocSecurity>0</DocSecurity>
  <HyperlinksChanged>false</HyperlinksChanged>
  <Lines>20</Lines>
  <LinksUpToDate>false</LinksUpToDate>
  <Pages>3</Pages>
  <Paragraphs>5</Paragraphs>
  <ScaleCrop>false</ScaleCrop>
  <SharedDoc>false</SharedDoc>
  <Template>Normal</Template>
  <TotalTime>58</TotalTime>
  <Words>423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Майер Евгения Андреевна</cp:lastModifiedBy>
  <cp:revision>21</cp:revision>
  <cp:lastPrinted>2023-09-20T02:39:00Z</cp:lastPrinted>
  <dcterms:created xsi:type="dcterms:W3CDTF">2022-03-23T10:18:00Z</dcterms:created>
  <dcterms:modified xsi:type="dcterms:W3CDTF">2023-11-17T04:28:00Z</dcterms:modified>
</cp:coreProperties>
</file>