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0"/>
        <w:ind w:firstLine="0"/>
        <w:jc w:val="center"/>
      </w:pPr>
      <w:r>
        <w:rPr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1180" cy="65278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40pt;height:51.40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650"/>
        <w:ind w:firstLine="0"/>
        <w:jc w:val="center"/>
        <w:widowControl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50"/>
        <w:ind w:firstLine="0"/>
        <w:jc w:val="center"/>
        <w:widowControl/>
        <w:rPr>
          <w:b/>
          <w:bCs/>
        </w:rPr>
      </w:pPr>
      <w:r>
        <w:rPr>
          <w:b/>
          <w:bCs/>
        </w:rPr>
        <w:t xml:space="preserve">МИНИСТЕРСТВО ПРОМЫШЛЕННОСТИ, ТОРГОВЛИ И РАЗВИТИЯ ПРЕДПРИНИМАТЕЛЬСТВА НОВОСИБИРСКОЙ ОБЛАСТИ</w:t>
      </w:r>
      <w:r>
        <w:rPr>
          <w:b/>
          <w:bCs/>
        </w:rPr>
      </w:r>
    </w:p>
    <w:p>
      <w:pPr>
        <w:pStyle w:val="650"/>
        <w:ind w:firstLine="0"/>
        <w:jc w:val="center"/>
        <w:rPr>
          <w:b/>
          <w:bCs/>
        </w:rPr>
      </w:pPr>
      <w:r>
        <w:rPr>
          <w:b/>
          <w:bCs/>
        </w:rPr>
        <w:t xml:space="preserve">(Минпромторг НСО)</w:t>
      </w:r>
      <w:r>
        <w:rPr>
          <w:b/>
          <w:bCs/>
        </w:rPr>
      </w:r>
    </w:p>
    <w:p>
      <w:pPr>
        <w:pStyle w:val="650"/>
        <w:ind w:firstLine="0"/>
        <w:jc w:val="center"/>
        <w:widowControl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650"/>
        <w:ind w:firstLine="0"/>
        <w:jc w:val="center"/>
        <w:widowControl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ПРИКАЗ</w:t>
      </w:r>
      <w:r>
        <w:rPr>
          <w:b/>
          <w:bCs/>
          <w:sz w:val="36"/>
          <w:szCs w:val="36"/>
        </w:rPr>
      </w:r>
    </w:p>
    <w:p>
      <w:pPr>
        <w:pStyle w:val="650"/>
        <w:ind w:firstLine="0"/>
        <w:widowControl/>
      </w:pPr>
      <w:r>
        <w:t xml:space="preserve">__.08.2024</w:t>
        <w:tab/>
        <w:tab/>
        <w:tab/>
        <w:tab/>
        <w:tab/>
        <w:tab/>
        <w:tab/>
        <w:tab/>
        <w:tab/>
        <w:tab/>
        <w:t xml:space="preserve">            </w:t>
      </w:r>
      <w:r>
        <w:t xml:space="preserve">№</w:t>
      </w:r>
      <w:r>
        <w:t xml:space="preserve"> </w:t>
      </w:r>
      <w:r>
        <w:t xml:space="preserve">_____</w:t>
      </w:r>
      <w:r/>
    </w:p>
    <w:p>
      <w:pPr>
        <w:pStyle w:val="650"/>
        <w:ind w:left="709" w:firstLine="0"/>
        <w:jc w:val="left"/>
        <w:widowControl/>
      </w:pPr>
      <w:r/>
      <w:r/>
    </w:p>
    <w:p>
      <w:pPr>
        <w:pStyle w:val="650"/>
        <w:ind w:firstLine="0"/>
        <w:jc w:val="center"/>
        <w:widowControl/>
      </w:pPr>
      <w:r>
        <w:t xml:space="preserve">г.</w:t>
      </w:r>
      <w:r>
        <w:t xml:space="preserve"> </w:t>
      </w:r>
      <w:r>
        <w:t xml:space="preserve">Новосибирск</w:t>
      </w:r>
      <w:r/>
    </w:p>
    <w:p>
      <w:pPr>
        <w:pStyle w:val="650"/>
        <w:ind w:left="709" w:firstLine="0"/>
        <w:jc w:val="left"/>
        <w:widowControl/>
      </w:pPr>
      <w:r/>
      <w:r/>
    </w:p>
    <w:p>
      <w:pPr>
        <w:pStyle w:val="650"/>
        <w:ind w:left="709" w:firstLine="0"/>
        <w:jc w:val="center"/>
        <w:widowControl/>
      </w:pPr>
      <w:r/>
      <w:r/>
    </w:p>
    <w:p>
      <w:pPr>
        <w:pStyle w:val="650"/>
        <w:ind w:firstLine="0"/>
        <w:jc w:val="center"/>
        <w:widowControl/>
      </w:pPr>
      <w:r>
        <w:t xml:space="preserve">О </w:t>
      </w:r>
      <w:r>
        <w:t xml:space="preserve">внесении изменений в приказ министерства промышленности, торговли</w:t>
      </w:r>
      <w:r/>
    </w:p>
    <w:p>
      <w:pPr>
        <w:pStyle w:val="650"/>
        <w:ind w:firstLine="0"/>
        <w:jc w:val="center"/>
        <w:widowControl/>
      </w:pPr>
      <w:r>
        <w:t xml:space="preserve">и развития предпринимательства Новосибирской области</w:t>
      </w:r>
      <w:r/>
    </w:p>
    <w:p>
      <w:pPr>
        <w:pStyle w:val="650"/>
        <w:ind w:firstLine="0"/>
        <w:jc w:val="center"/>
        <w:widowControl/>
      </w:pPr>
      <w:r>
        <w:t xml:space="preserve">от 0</w:t>
      </w:r>
      <w:r>
        <w:t xml:space="preserve">1</w:t>
      </w:r>
      <w:r>
        <w:t xml:space="preserve">.</w:t>
      </w:r>
      <w:r>
        <w:t xml:space="preserve">07</w:t>
      </w:r>
      <w:r>
        <w:t xml:space="preserve">.201</w:t>
      </w:r>
      <w:r>
        <w:t xml:space="preserve">0</w:t>
      </w:r>
      <w:r>
        <w:t xml:space="preserve"> № </w:t>
      </w:r>
      <w:r>
        <w:t xml:space="preserve">2</w:t>
      </w:r>
      <w:r>
        <w:t xml:space="preserve">3</w:t>
      </w:r>
      <w:r/>
    </w:p>
    <w:p>
      <w:pPr>
        <w:pStyle w:val="650"/>
        <w:ind w:firstLine="0"/>
        <w:jc w:val="left"/>
        <w:widowControl/>
      </w:pPr>
      <w:r/>
      <w:r/>
    </w:p>
    <w:p>
      <w:pPr>
        <w:pStyle w:val="650"/>
        <w:ind w:firstLine="0"/>
        <w:widowControl/>
        <w:rPr>
          <w:b/>
        </w:rPr>
      </w:pPr>
      <w:r>
        <w:tab/>
      </w:r>
      <w:r>
        <w:rPr>
          <w:b/>
        </w:rPr>
        <w:t xml:space="preserve">П</w:t>
      </w:r>
      <w:r>
        <w:rPr>
          <w:b/>
        </w:rPr>
        <w:t xml:space="preserve"> р и к а з ы в а ю:</w:t>
      </w:r>
      <w:r>
        <w:rPr>
          <w:b/>
        </w:rPr>
      </w:r>
    </w:p>
    <w:p>
      <w:pPr>
        <w:pStyle w:val="650"/>
        <w:ind w:firstLine="708"/>
        <w:widowControl/>
      </w:pPr>
      <w:r>
        <w:t xml:space="preserve">Внести в приказ министерства промышленности, торговли и развития предпринимательства Новосибирской области от 01.07.2010 № 23 «О создании комиссии по развитию малого и среднего предпринимательства» следующие изменения:</w:t>
      </w:r>
      <w:r/>
    </w:p>
    <w:p>
      <w:pPr>
        <w:pStyle w:val="650"/>
        <w:numPr>
          <w:ilvl w:val="0"/>
          <w:numId w:val="4"/>
        </w:numPr>
        <w:ind w:left="0" w:firstLine="699"/>
        <w:widowControl/>
        <w:tabs>
          <w:tab w:val="left" w:pos="993" w:leader="none"/>
        </w:tabs>
      </w:pPr>
      <w:r>
        <w:t xml:space="preserve">В </w:t>
      </w:r>
      <w:r>
        <w:t xml:space="preserve">Положени</w:t>
      </w:r>
      <w:r>
        <w:t xml:space="preserve">и</w:t>
      </w:r>
      <w:r>
        <w:t xml:space="preserve"> о комиссии по развитию малого и среднего предпринимательства</w:t>
      </w:r>
      <w:r>
        <w:t xml:space="preserve">:</w:t>
      </w:r>
      <w:r/>
    </w:p>
    <w:p>
      <w:pPr>
        <w:pStyle w:val="650"/>
        <w:numPr>
          <w:ilvl w:val="0"/>
          <w:numId w:val="7"/>
        </w:numPr>
        <w:widowControl/>
        <w:tabs>
          <w:tab w:val="left" w:pos="993" w:leader="none"/>
        </w:tabs>
      </w:pPr>
      <w:r>
        <w:t xml:space="preserve">дополнить п</w:t>
      </w:r>
      <w:r>
        <w:t xml:space="preserve">ункт</w:t>
      </w:r>
      <w:r>
        <w:t xml:space="preserve">о</w:t>
      </w:r>
      <w:r>
        <w:t xml:space="preserve">м</w:t>
      </w:r>
      <w:r>
        <w:t xml:space="preserve"> </w:t>
      </w:r>
      <w:r>
        <w:t xml:space="preserve">15</w:t>
      </w:r>
      <w:r>
        <w:t xml:space="preserve"> следующего содержания</w:t>
      </w:r>
      <w:r>
        <w:t xml:space="preserve">:</w:t>
      </w:r>
      <w:r/>
    </w:p>
    <w:p>
      <w:pPr>
        <w:pStyle w:val="650"/>
        <w:widowControl/>
        <w:tabs>
          <w:tab w:val="left" w:pos="993" w:leader="none"/>
        </w:tabs>
      </w:pPr>
      <w:r>
        <w:t xml:space="preserve">«</w:t>
      </w:r>
      <w:r>
        <w:t xml:space="preserve">15. </w:t>
      </w:r>
      <w:r>
        <w:t xml:space="preserve">В случае проведения отбора</w:t>
      </w:r>
      <w:r>
        <w:t xml:space="preserve"> </w:t>
      </w:r>
      <w:r>
        <w:t xml:space="preserve">получателей</w:t>
      </w:r>
      <w:r>
        <w:t xml:space="preserve"> </w:t>
      </w:r>
      <w:r>
        <w:t xml:space="preserve">грантов в форме субсидий</w:t>
      </w:r>
      <w:r>
        <w:t xml:space="preserve">, предоставляемых</w:t>
      </w:r>
      <w:r>
        <w:t xml:space="preserve"> юридическим лицам, индивидуальным предпринимателям – производителям товаров, работ, услуг на реализацию меропр</w:t>
      </w:r>
      <w:r>
        <w:t xml:space="preserve">иятий государственной программы</w:t>
      </w:r>
      <w:r>
        <w:t xml:space="preserve"> (далее – отбор получателей субсидий),</w:t>
      </w:r>
      <w:r>
        <w:t xml:space="preserve"> </w:t>
      </w:r>
      <w:r>
        <w:t xml:space="preserve">в </w:t>
      </w:r>
      <w:r>
        <w:t xml:space="preserve">государственной интегрированной информационной системе управления общественными финансами «Электронный бюджет»</w:t>
      </w:r>
      <w:r>
        <w:t xml:space="preserve"> члены комиссии проводят оценку заявок, поданных для участия в отборе получателей субсидий на Портале предоставления мер финансовой государственной поддержки в качестве эксперта.</w:t>
      </w:r>
      <w:r>
        <w:t xml:space="preserve">»;</w:t>
      </w:r>
      <w:r/>
    </w:p>
    <w:p>
      <w:pPr>
        <w:pStyle w:val="650"/>
        <w:numPr>
          <w:ilvl w:val="0"/>
          <w:numId w:val="7"/>
        </w:numPr>
        <w:widowControl/>
        <w:tabs>
          <w:tab w:val="left" w:pos="993" w:leader="none"/>
        </w:tabs>
      </w:pPr>
      <w:r>
        <w:t xml:space="preserve">дополнить пунктом 16 следующего содержания:</w:t>
      </w:r>
      <w:r/>
    </w:p>
    <w:p>
      <w:pPr>
        <w:pStyle w:val="650"/>
        <w:widowControl/>
        <w:tabs>
          <w:tab w:val="left" w:pos="993" w:leader="none"/>
        </w:tabs>
      </w:pPr>
      <w:r>
        <w:t xml:space="preserve">«</w:t>
      </w:r>
      <w:r>
        <w:t xml:space="preserve">16. Работа комиссии по оценке заявок,</w:t>
      </w:r>
      <w:r>
        <w:t xml:space="preserve"> поданных для участия в отборе получателей субсидий</w:t>
      </w:r>
      <w:r>
        <w:t xml:space="preserve">, проводится</w:t>
      </w:r>
      <w:r>
        <w:t xml:space="preserve"> в соответствии с Правила</w:t>
      </w:r>
      <w:r>
        <w:t xml:space="preserve">ми отбора получателей субсидий</w:t>
      </w:r>
      <w:r>
        <w:t xml:space="preserve">, </w:t>
      </w:r>
      <w:r>
        <w:t xml:space="preserve">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– производителям товаров, работ, услуг</w:t>
      </w:r>
      <w:r>
        <w:t xml:space="preserve">, </w:t>
      </w:r>
      <w:r>
        <w:t xml:space="preserve">утвержденными постановлением Правительства Российской Федерации от 25.10.2023 № 1781</w:t>
      </w:r>
      <w:r>
        <w:t xml:space="preserve">.</w:t>
      </w:r>
      <w:r>
        <w:t xml:space="preserve">»</w:t>
      </w:r>
      <w:r>
        <w:t xml:space="preserve">.</w:t>
      </w:r>
      <w:r>
        <w:t xml:space="preserve"> </w:t>
      </w:r>
      <w:r/>
    </w:p>
    <w:p>
      <w:pPr>
        <w:pStyle w:val="650"/>
        <w:numPr>
          <w:ilvl w:val="0"/>
          <w:numId w:val="4"/>
        </w:numPr>
        <w:ind w:left="0" w:firstLine="709"/>
        <w:widowControl/>
        <w:tabs>
          <w:tab w:val="left" w:pos="993" w:leader="none"/>
        </w:tabs>
      </w:pPr>
      <w:r>
        <w:t xml:space="preserve">В</w:t>
      </w:r>
      <w:r>
        <w:t xml:space="preserve"> составе комиссии по развитию малого и среднег</w:t>
      </w:r>
      <w:r>
        <w:t xml:space="preserve">о предпринимательства (далее - к</w:t>
      </w:r>
      <w:r>
        <w:t xml:space="preserve">омиссия):</w:t>
      </w:r>
      <w:r/>
    </w:p>
    <w:p>
      <w:pPr>
        <w:pStyle w:val="650"/>
        <w:numPr>
          <w:ilvl w:val="0"/>
          <w:numId w:val="5"/>
        </w:numPr>
        <w:ind w:left="0" w:firstLine="709"/>
        <w:widowControl/>
        <w:tabs>
          <w:tab w:val="left" w:pos="993" w:leader="none"/>
        </w:tabs>
      </w:pPr>
      <w:r>
        <w:t xml:space="preserve">вывести из состава комиссии</w:t>
      </w:r>
      <w:r>
        <w:t xml:space="preserve">:</w:t>
      </w:r>
      <w:r/>
    </w:p>
    <w:p>
      <w:pPr>
        <w:pStyle w:val="650"/>
        <w:widowControl/>
        <w:tabs>
          <w:tab w:val="left" w:pos="1134" w:leader="none"/>
        </w:tabs>
      </w:pPr>
      <w:r>
        <w:t xml:space="preserve">Алтухова С.И., </w:t>
      </w:r>
      <w:r>
        <w:t xml:space="preserve">Брякотнину Е.А., </w:t>
      </w:r>
      <w:r>
        <w:t xml:space="preserve">Киселева О.С.</w:t>
      </w:r>
      <w:r>
        <w:t xml:space="preserve">, </w:t>
      </w:r>
      <w:r>
        <w:t xml:space="preserve">Кошелеву Н.А.</w:t>
      </w:r>
      <w:r>
        <w:t xml:space="preserve">, </w:t>
      </w:r>
      <w:r>
        <w:t xml:space="preserve">   </w:t>
      </w:r>
      <w:r>
        <w:t xml:space="preserve">Мамулата Н.Е.;</w:t>
      </w:r>
      <w:r/>
    </w:p>
    <w:p>
      <w:pPr>
        <w:pStyle w:val="650"/>
        <w:numPr>
          <w:ilvl w:val="0"/>
          <w:numId w:val="5"/>
        </w:numPr>
        <w:ind w:left="0" w:firstLine="709"/>
        <w:widowControl/>
        <w:tabs>
          <w:tab w:val="left" w:pos="993" w:leader="none"/>
        </w:tabs>
      </w:pPr>
      <w:r>
        <w:t xml:space="preserve">в</w:t>
      </w:r>
      <w:r>
        <w:t xml:space="preserve">вести </w:t>
      </w:r>
      <w:r>
        <w:t xml:space="preserve">в состав</w:t>
      </w:r>
      <w:r>
        <w:t xml:space="preserve"> к</w:t>
      </w:r>
      <w:r>
        <w:t xml:space="preserve">омиссии</w:t>
      </w:r>
      <w:r>
        <w:t xml:space="preserve">:</w:t>
      </w:r>
      <w:r/>
    </w:p>
    <w:p>
      <w:pPr>
        <w:pStyle w:val="650"/>
        <w:widowControl/>
        <w:tabs>
          <w:tab w:val="left" w:pos="1134" w:leader="none"/>
        </w:tabs>
      </w:pPr>
      <w:r>
        <w:t xml:space="preserve">Бешенцеву Галину Викторовну</w:t>
      </w:r>
      <w:r>
        <w:t xml:space="preserve">, </w:t>
      </w:r>
      <w:r>
        <w:t xml:space="preserve">консультанта отдела развития малого и среднего предпринимательства управления промышленности и предпринимательства министерства промышленности, торговли и развития предпринимательства Новосибирской области, секретарем комиссии</w:t>
      </w:r>
      <w:r>
        <w:t xml:space="preserve">;</w:t>
      </w:r>
      <w:r/>
    </w:p>
    <w:p>
      <w:pPr>
        <w:pStyle w:val="650"/>
        <w:widowControl/>
        <w:tabs>
          <w:tab w:val="left" w:pos="1134" w:leader="none"/>
        </w:tabs>
      </w:pPr>
      <w:r>
        <w:t xml:space="preserve">Кириллова Дениса Юрьевича, </w:t>
      </w:r>
      <w:r>
        <w:t xml:space="preserve">р</w:t>
      </w:r>
      <w:r>
        <w:t xml:space="preserve">уководителя</w:t>
      </w:r>
      <w:r>
        <w:t xml:space="preserve"> аппарата Уполномоченного по защите </w:t>
      </w:r>
      <w:r>
        <w:t xml:space="preserve">п</w:t>
      </w:r>
      <w:r>
        <w:t xml:space="preserve">рав предпринимателей в Новосибирской области</w:t>
      </w:r>
      <w:r>
        <w:t xml:space="preserve"> (по согласованию)</w:t>
      </w:r>
      <w:r>
        <w:t xml:space="preserve">;</w:t>
      </w:r>
      <w:r/>
    </w:p>
    <w:p>
      <w:pPr>
        <w:pStyle w:val="650"/>
        <w:widowControl/>
        <w:tabs>
          <w:tab w:val="left" w:pos="1134" w:leader="none"/>
        </w:tabs>
      </w:pPr>
      <w:r>
        <w:t xml:space="preserve">Макарову Юлию Анатольевну, </w:t>
      </w:r>
      <w:r>
        <w:t xml:space="preserve">начальник</w:t>
      </w:r>
      <w:r>
        <w:t xml:space="preserve">а</w:t>
      </w:r>
      <w:r>
        <w:t xml:space="preserve"> отдела партнерских отношений и развития предпринимательств</w:t>
      </w:r>
      <w:r>
        <w:t xml:space="preserve">а Союза «</w:t>
      </w:r>
      <w:r>
        <w:t xml:space="preserve">Торгово-промышленн</w:t>
      </w:r>
      <w:r>
        <w:t xml:space="preserve">ая палата Новосибирской области»</w:t>
      </w:r>
      <w:r>
        <w:t xml:space="preserve"> (по согласованию)</w:t>
      </w:r>
      <w:r>
        <w:t xml:space="preserve">;</w:t>
      </w:r>
      <w:r/>
    </w:p>
    <w:p>
      <w:pPr>
        <w:pStyle w:val="650"/>
        <w:widowControl/>
        <w:tabs>
          <w:tab w:val="left" w:pos="1134" w:leader="none"/>
        </w:tabs>
      </w:pPr>
      <w:r>
        <w:t xml:space="preserve">Пинигину Наталью Алексеевну, члена Совета Новосибирского регионального отделения общероссийской общественной организации «Деловая Россия», юриста (по согласованию);</w:t>
      </w:r>
      <w:r/>
    </w:p>
    <w:p>
      <w:pPr>
        <w:pStyle w:val="650"/>
        <w:widowControl/>
        <w:tabs>
          <w:tab w:val="left" w:pos="1134" w:leader="none"/>
        </w:tabs>
      </w:pPr>
      <w:r>
        <w:t xml:space="preserve">Ярцеву Марину Михайловну, вице-председателя Новосибирского областного отделения Общероссийской</w:t>
      </w:r>
      <w:r>
        <w:t xml:space="preserve"> общественной организации малого и среднего пр</w:t>
      </w:r>
      <w:r>
        <w:t xml:space="preserve">едпринимательства «ОПОРА РОССИИ»</w:t>
      </w:r>
      <w:r>
        <w:t xml:space="preserve"> (по согласованию)</w:t>
      </w:r>
      <w:r>
        <w:t xml:space="preserve">.</w:t>
      </w:r>
      <w:r/>
    </w:p>
    <w:p>
      <w:pPr>
        <w:pStyle w:val="650"/>
        <w:ind w:firstLine="0"/>
        <w:tabs>
          <w:tab w:val="left" w:pos="567" w:leader="none"/>
        </w:tabs>
        <w:rPr>
          <w:color w:val="ff0000"/>
        </w:rPr>
      </w:pPr>
      <w:r>
        <w:rPr>
          <w:color w:val="ff0000"/>
        </w:rPr>
      </w:r>
      <w:r>
        <w:rPr>
          <w:color w:val="ff0000"/>
        </w:rPr>
      </w:r>
    </w:p>
    <w:p>
      <w:pPr>
        <w:pStyle w:val="650"/>
        <w:ind w:firstLine="0"/>
        <w:tabs>
          <w:tab w:val="left" w:pos="567" w:leader="none"/>
        </w:tabs>
      </w:pPr>
      <w:r/>
      <w:r/>
    </w:p>
    <w:p>
      <w:pPr>
        <w:pStyle w:val="650"/>
        <w:ind w:firstLine="0"/>
        <w:tabs>
          <w:tab w:val="left" w:pos="567" w:leader="none"/>
        </w:tabs>
      </w:pPr>
      <w:r/>
      <w:r/>
    </w:p>
    <w:p>
      <w:pPr>
        <w:pStyle w:val="650"/>
        <w:ind w:firstLine="0"/>
        <w:tabs>
          <w:tab w:val="left" w:pos="567" w:leader="none"/>
        </w:tabs>
      </w:pPr>
      <w:r>
        <w:t xml:space="preserve">Министр</w:t>
        <w:tab/>
        <w:tab/>
        <w:tab/>
        <w:tab/>
        <w:tab/>
        <w:tab/>
        <w:tab/>
        <w:tab/>
        <w:tab/>
      </w:r>
      <w:r>
        <w:t xml:space="preserve">               </w:t>
      </w:r>
      <w:r>
        <w:t xml:space="preserve">А.А. Гончаров</w:t>
      </w:r>
      <w:r/>
    </w:p>
    <w:p>
      <w:pPr>
        <w:pStyle w:val="650"/>
        <w:ind w:firstLine="0"/>
        <w:tabs>
          <w:tab w:val="left" w:pos="567" w:leader="none"/>
        </w:tabs>
      </w:pPr>
      <w:r/>
      <w:r/>
    </w:p>
    <w:p>
      <w:pPr>
        <w:pStyle w:val="650"/>
        <w:ind w:firstLine="0"/>
        <w:tabs>
          <w:tab w:val="left" w:pos="567" w:leader="none"/>
        </w:tabs>
      </w:pPr>
      <w:r/>
      <w:r/>
    </w:p>
    <w:p>
      <w:pPr>
        <w:pStyle w:val="650"/>
        <w:ind w:firstLine="0"/>
        <w:tabs>
          <w:tab w:val="left" w:pos="567" w:leader="none"/>
        </w:tabs>
      </w:pPr>
      <w:r/>
      <w:r/>
    </w:p>
    <w:p>
      <w:pPr>
        <w:pStyle w:val="650"/>
        <w:ind w:firstLine="0"/>
        <w:tabs>
          <w:tab w:val="left" w:pos="567" w:leader="none"/>
        </w:tabs>
      </w:pPr>
      <w:r/>
      <w:r/>
    </w:p>
    <w:p>
      <w:pPr>
        <w:pStyle w:val="650"/>
        <w:ind w:firstLine="0"/>
        <w:tabs>
          <w:tab w:val="left" w:pos="567" w:leader="none"/>
        </w:tabs>
      </w:pPr>
      <w:r/>
      <w:r/>
    </w:p>
    <w:p>
      <w:pPr>
        <w:pStyle w:val="650"/>
        <w:ind w:firstLine="0"/>
        <w:tabs>
          <w:tab w:val="left" w:pos="567" w:leader="none"/>
        </w:tabs>
      </w:pPr>
      <w:r/>
      <w:r/>
    </w:p>
    <w:p>
      <w:pPr>
        <w:pStyle w:val="650"/>
        <w:ind w:firstLine="0"/>
        <w:tabs>
          <w:tab w:val="left" w:pos="567" w:leader="none"/>
        </w:tabs>
      </w:pPr>
      <w:r/>
      <w:r/>
    </w:p>
    <w:p>
      <w:pPr>
        <w:pStyle w:val="650"/>
        <w:ind w:firstLine="0"/>
        <w:tabs>
          <w:tab w:val="left" w:pos="567" w:leader="none"/>
        </w:tabs>
      </w:pPr>
      <w:r/>
      <w:r/>
    </w:p>
    <w:p>
      <w:pPr>
        <w:pStyle w:val="650"/>
        <w:ind w:firstLine="0"/>
        <w:tabs>
          <w:tab w:val="left" w:pos="567" w:leader="none"/>
        </w:tabs>
      </w:pPr>
      <w:r/>
      <w:r/>
    </w:p>
    <w:p>
      <w:pPr>
        <w:pStyle w:val="650"/>
        <w:ind w:firstLine="0"/>
        <w:tabs>
          <w:tab w:val="left" w:pos="567" w:leader="none"/>
        </w:tabs>
      </w:pPr>
      <w:r/>
      <w:r/>
    </w:p>
    <w:p>
      <w:pPr>
        <w:pStyle w:val="650"/>
        <w:ind w:firstLine="0"/>
        <w:tabs>
          <w:tab w:val="left" w:pos="567" w:leader="none"/>
        </w:tabs>
      </w:pPr>
      <w:r/>
      <w:r/>
    </w:p>
    <w:p>
      <w:pPr>
        <w:pStyle w:val="650"/>
        <w:ind w:firstLine="0"/>
        <w:tabs>
          <w:tab w:val="left" w:pos="567" w:leader="none"/>
        </w:tabs>
      </w:pPr>
      <w:r/>
      <w:r/>
    </w:p>
    <w:p>
      <w:pPr>
        <w:pStyle w:val="650"/>
        <w:ind w:firstLine="0"/>
        <w:tabs>
          <w:tab w:val="left" w:pos="567" w:leader="none"/>
        </w:tabs>
      </w:pPr>
      <w:r/>
      <w:r/>
    </w:p>
    <w:p>
      <w:pPr>
        <w:pStyle w:val="650"/>
        <w:ind w:firstLine="0"/>
        <w:tabs>
          <w:tab w:val="left" w:pos="567" w:leader="none"/>
        </w:tabs>
      </w:pPr>
      <w:r/>
      <w:r/>
    </w:p>
    <w:p>
      <w:pPr>
        <w:pStyle w:val="650"/>
        <w:ind w:firstLine="0"/>
        <w:tabs>
          <w:tab w:val="left" w:pos="567" w:leader="none"/>
        </w:tabs>
      </w:pPr>
      <w:r/>
      <w:r/>
    </w:p>
    <w:p>
      <w:pPr>
        <w:pStyle w:val="650"/>
        <w:ind w:firstLine="0"/>
        <w:tabs>
          <w:tab w:val="left" w:pos="567" w:leader="none"/>
        </w:tabs>
      </w:pPr>
      <w:r/>
      <w:r/>
    </w:p>
    <w:p>
      <w:pPr>
        <w:pStyle w:val="650"/>
        <w:ind w:firstLine="0"/>
        <w:tabs>
          <w:tab w:val="left" w:pos="567" w:leader="none"/>
        </w:tabs>
      </w:pPr>
      <w:r/>
      <w:r/>
    </w:p>
    <w:p>
      <w:pPr>
        <w:pStyle w:val="650"/>
        <w:ind w:firstLine="0"/>
        <w:widowControl/>
        <w:rPr>
          <w:sz w:val="20"/>
          <w:szCs w:val="20"/>
        </w:rPr>
      </w:pPr>
      <w:r>
        <w:rPr>
          <w:sz w:val="20"/>
          <w:szCs w:val="20"/>
        </w:rPr>
        <w:t xml:space="preserve">Г.В. Бешенцева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0"/>
        <w:ind w:firstLine="0"/>
        <w:widowControl/>
        <w:rPr>
          <w:sz w:val="20"/>
          <w:szCs w:val="20"/>
        </w:rPr>
        <w:sectPr>
          <w:footerReference w:type="default" r:id="rId9"/>
          <w:footnotePr/>
          <w:endnotePr/>
          <w:type w:val="continuous"/>
          <w:pgSz w:w="11907" w:h="16840" w:orient="portrait"/>
          <w:pgMar w:top="1134" w:right="567" w:bottom="851" w:left="1418" w:header="567" w:footer="454" w:gutter="0"/>
          <w:cols w:num="1" w:sep="0" w:space="709" w:equalWidth="1"/>
          <w:docGrid w:linePitch="360"/>
          <w:titlePg/>
        </w:sect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50"/>
        <w:ind w:firstLine="0"/>
        <w:widowControl/>
        <w:rPr>
          <w:sz w:val="20"/>
          <w:szCs w:val="20"/>
        </w:rPr>
      </w:pPr>
      <w:r>
        <w:rPr>
          <w:sz w:val="20"/>
          <w:szCs w:val="20"/>
        </w:rPr>
        <w:t xml:space="preserve">(383) 238 62 01</w:t>
      </w:r>
      <w:r>
        <w:rPr>
          <w:sz w:val="20"/>
          <w:szCs w:val="20"/>
        </w:rPr>
      </w:r>
    </w:p>
    <w:sectPr>
      <w:footerReference w:type="default" r:id="rId10"/>
      <w:footnotePr/>
      <w:endnotePr/>
      <w:type w:val="continuous"/>
      <w:pgSz w:w="11907" w:h="16840" w:orient="portrait"/>
      <w:pgMar w:top="709" w:right="567" w:bottom="425" w:left="1418" w:header="567" w:footer="454" w:gutter="0"/>
      <w:cols w:num="1" w:sep="0" w:space="709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ahoma">
    <w:panose1 w:val="020B0604030504040204"/>
  </w:font>
  <w:font w:name="Baltica">
    <w:panose1 w:val="02000603000000000000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4"/>
      <w:widowControl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4"/>
      <w:widowControl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1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  <w:sz w:val="20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  <w:sz w:val="20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0"/>
    <w:next w:val="65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0"/>
    <w:next w:val="65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0"/>
    <w:next w:val="65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0"/>
    <w:next w:val="65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0"/>
    <w:next w:val="65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0"/>
    <w:next w:val="65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0"/>
    <w:next w:val="65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0"/>
    <w:next w:val="65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0"/>
    <w:next w:val="65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0"/>
    <w:next w:val="65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0"/>
    <w:next w:val="65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0"/>
    <w:next w:val="65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0"/>
    <w:next w:val="65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0"/>
    <w:next w:val="6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0"/>
    <w:next w:val="65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0"/>
    <w:next w:val="65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0"/>
    <w:next w:val="65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0"/>
    <w:next w:val="65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0"/>
    <w:next w:val="65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0"/>
    <w:next w:val="65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0"/>
    <w:next w:val="65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0"/>
    <w:next w:val="65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0"/>
    <w:next w:val="65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0"/>
    <w:next w:val="650"/>
    <w:uiPriority w:val="99"/>
    <w:unhideWhenUsed/>
    <w:pPr>
      <w:spacing w:after="0" w:afterAutospacing="0"/>
    </w:pPr>
  </w:style>
  <w:style w:type="paragraph" w:styleId="650" w:default="1">
    <w:name w:val="Normal"/>
    <w:next w:val="650"/>
    <w:link w:val="650"/>
    <w:qFormat/>
    <w:pPr>
      <w:ind w:firstLine="709"/>
      <w:jc w:val="both"/>
      <w:widowControl w:val="off"/>
    </w:pPr>
    <w:rPr>
      <w:sz w:val="28"/>
      <w:szCs w:val="28"/>
      <w:lang w:val="ru-RU" w:eastAsia="ru-RU" w:bidi="ar-SA"/>
    </w:rPr>
  </w:style>
  <w:style w:type="paragraph" w:styleId="651">
    <w:name w:val="Заголовок 2"/>
    <w:basedOn w:val="650"/>
    <w:next w:val="650"/>
    <w:link w:val="656"/>
    <w:uiPriority w:val="99"/>
    <w:qFormat/>
    <w:pPr>
      <w:spacing w:before="120" w:after="120"/>
      <w:outlineLvl w:val="1"/>
    </w:pPr>
  </w:style>
  <w:style w:type="paragraph" w:styleId="652">
    <w:name w:val="Заголовок 3"/>
    <w:basedOn w:val="650"/>
    <w:next w:val="650"/>
    <w:link w:val="657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653">
    <w:name w:val="Основной шрифт абзаца"/>
    <w:next w:val="653"/>
    <w:link w:val="650"/>
    <w:uiPriority w:val="99"/>
  </w:style>
  <w:style w:type="table" w:styleId="654">
    <w:name w:val="Обычная таблица"/>
    <w:next w:val="654"/>
    <w:link w:val="650"/>
    <w:uiPriority w:val="99"/>
    <w:semiHidden/>
    <w:unhideWhenUsed/>
    <w:tblPr/>
  </w:style>
  <w:style w:type="numbering" w:styleId="655">
    <w:name w:val="Нет списка"/>
    <w:next w:val="655"/>
    <w:link w:val="650"/>
    <w:uiPriority w:val="99"/>
    <w:semiHidden/>
    <w:unhideWhenUsed/>
  </w:style>
  <w:style w:type="character" w:styleId="656">
    <w:name w:val="Заголовок 2 Знак"/>
    <w:next w:val="656"/>
    <w:link w:val="651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657">
    <w:name w:val="Заголовок 3 Знак"/>
    <w:next w:val="657"/>
    <w:link w:val="652"/>
    <w:uiPriority w:val="9"/>
    <w:semiHidden/>
    <w:rPr>
      <w:rFonts w:ascii="Cambria" w:hAnsi="Cambria" w:eastAsia="Times New Roman" w:cs="Times New Roman"/>
      <w:b/>
      <w:bCs/>
      <w:sz w:val="26"/>
      <w:szCs w:val="26"/>
    </w:rPr>
  </w:style>
  <w:style w:type="paragraph" w:styleId="658">
    <w:name w:val="Eiio"/>
    <w:basedOn w:val="650"/>
    <w:next w:val="658"/>
    <w:link w:val="650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character" w:styleId="659">
    <w:name w:val="Основной шрифт"/>
    <w:next w:val="659"/>
    <w:link w:val="650"/>
    <w:uiPriority w:val="99"/>
  </w:style>
  <w:style w:type="paragraph" w:styleId="660">
    <w:name w:val="Название"/>
    <w:basedOn w:val="650"/>
    <w:next w:val="660"/>
    <w:link w:val="661"/>
    <w:uiPriority w:val="99"/>
    <w:qFormat/>
    <w:pPr>
      <w:jc w:val="center"/>
      <w:spacing w:before="240" w:after="60"/>
    </w:pPr>
    <w:rPr>
      <w:rFonts w:ascii="Arial" w:hAnsi="Arial" w:cs="Arial"/>
      <w:b/>
      <w:bCs/>
      <w:sz w:val="32"/>
      <w:szCs w:val="32"/>
    </w:rPr>
  </w:style>
  <w:style w:type="character" w:styleId="661">
    <w:name w:val="Название Знак"/>
    <w:next w:val="661"/>
    <w:link w:val="660"/>
    <w:uiPriority w:val="99"/>
    <w:rPr>
      <w:rFonts w:ascii="Cambria" w:hAnsi="Cambria" w:cs="Times New Roman"/>
      <w:b/>
      <w:bCs/>
      <w:sz w:val="32"/>
      <w:szCs w:val="32"/>
    </w:rPr>
  </w:style>
  <w:style w:type="character" w:styleId="662">
    <w:name w:val="Гиперссылка"/>
    <w:next w:val="662"/>
    <w:link w:val="650"/>
    <w:uiPriority w:val="99"/>
    <w:rPr>
      <w:rFonts w:cs="Times New Roman"/>
      <w:color w:val="0000ff"/>
      <w:u w:val="single"/>
    </w:rPr>
  </w:style>
  <w:style w:type="table" w:styleId="663">
    <w:name w:val="Сетка таблицы"/>
    <w:basedOn w:val="654"/>
    <w:next w:val="663"/>
    <w:link w:val="650"/>
    <w:uiPriority w:val="99"/>
    <w:pPr>
      <w:ind w:firstLine="709"/>
      <w:jc w:val="both"/>
      <w:spacing w:after="0" w:line="240" w:lineRule="auto"/>
      <w:widowControl w:val="off"/>
    </w:pPr>
    <w:rPr>
      <w:sz w:val="20"/>
      <w:szCs w:val="20"/>
    </w:rPr>
    <w:tblPr/>
  </w:style>
  <w:style w:type="paragraph" w:styleId="664">
    <w:name w:val="Нижний колонтитул"/>
    <w:basedOn w:val="650"/>
    <w:next w:val="664"/>
    <w:link w:val="665"/>
    <w:uiPriority w:val="99"/>
    <w:pPr>
      <w:tabs>
        <w:tab w:val="center" w:pos="4536" w:leader="none"/>
        <w:tab w:val="right" w:pos="9072" w:leader="none"/>
      </w:tabs>
    </w:pPr>
  </w:style>
  <w:style w:type="character" w:styleId="665">
    <w:name w:val="Нижний колонтитул Знак"/>
    <w:next w:val="665"/>
    <w:link w:val="664"/>
    <w:uiPriority w:val="99"/>
    <w:semiHidden/>
    <w:rPr>
      <w:rFonts w:cs="Times New Roman"/>
      <w:sz w:val="28"/>
      <w:szCs w:val="28"/>
    </w:rPr>
  </w:style>
  <w:style w:type="paragraph" w:styleId="666">
    <w:name w:val="Верхний колонтитул"/>
    <w:basedOn w:val="650"/>
    <w:next w:val="666"/>
    <w:link w:val="667"/>
    <w:uiPriority w:val="99"/>
    <w:pPr>
      <w:tabs>
        <w:tab w:val="center" w:pos="4536" w:leader="none"/>
        <w:tab w:val="right" w:pos="9072" w:leader="none"/>
      </w:tabs>
    </w:pPr>
  </w:style>
  <w:style w:type="character" w:styleId="667">
    <w:name w:val="Верхний колонтитул Знак"/>
    <w:next w:val="667"/>
    <w:link w:val="666"/>
    <w:uiPriority w:val="99"/>
    <w:semiHidden/>
    <w:rPr>
      <w:rFonts w:cs="Times New Roman"/>
      <w:sz w:val="28"/>
      <w:szCs w:val="28"/>
    </w:rPr>
  </w:style>
  <w:style w:type="paragraph" w:styleId="668">
    <w:name w:val="Текст выноски"/>
    <w:basedOn w:val="650"/>
    <w:next w:val="668"/>
    <w:link w:val="669"/>
    <w:uiPriority w:val="99"/>
    <w:semiHidden/>
    <w:rPr>
      <w:rFonts w:ascii="Tahoma" w:hAnsi="Tahoma" w:cs="Tahoma"/>
      <w:sz w:val="16"/>
      <w:szCs w:val="16"/>
    </w:rPr>
  </w:style>
  <w:style w:type="character" w:styleId="669">
    <w:name w:val="Текст выноски Знак"/>
    <w:next w:val="669"/>
    <w:link w:val="668"/>
    <w:uiPriority w:val="99"/>
    <w:semiHidden/>
    <w:rPr>
      <w:rFonts w:ascii="Tahoma" w:hAnsi="Tahoma" w:cs="Tahoma"/>
      <w:sz w:val="16"/>
      <w:szCs w:val="16"/>
    </w:rPr>
  </w:style>
  <w:style w:type="paragraph" w:styleId="670">
    <w:name w:val="ConsPlusNormal"/>
    <w:next w:val="670"/>
    <w:link w:val="650"/>
    <w:uiPriority w:val="99"/>
    <w:pPr>
      <w:ind w:firstLine="720"/>
    </w:pPr>
    <w:rPr>
      <w:rFonts w:ascii="Arial" w:hAnsi="Arial" w:cs="Arial"/>
      <w:lang w:val="ru-RU" w:eastAsia="ru-RU" w:bidi="ar-SA"/>
    </w:rPr>
  </w:style>
  <w:style w:type="character" w:styleId="1001" w:default="1">
    <w:name w:val="Default Paragraph Font"/>
    <w:uiPriority w:val="1"/>
    <w:semiHidden/>
    <w:unhideWhenUsed/>
  </w:style>
  <w:style w:type="numbering" w:styleId="1002" w:default="1">
    <w:name w:val="No List"/>
    <w:uiPriority w:val="99"/>
    <w:semiHidden/>
    <w:unhideWhenUsed/>
  </w:style>
  <w:style w:type="table" w:styleId="10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GlavPEU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revision>30</cp:revision>
  <dcterms:created xsi:type="dcterms:W3CDTF">2024-08-12T08:29:00Z</dcterms:created>
  <dcterms:modified xsi:type="dcterms:W3CDTF">2024-08-19T11:48:35Z</dcterms:modified>
  <cp:version>1048576</cp:version>
</cp:coreProperties>
</file>