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предоставления и распределения субсидий местным бюджетам муниципальных образований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технологическое присоединение объектов капитального строительства к сетям инженерно-технического обеспечения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распределения субсидий мес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тным бюджетам муниципальных образований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технологическое присоединение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регламентирует предоставление и расходование субсидий местным бюджетам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местные бюджеты) из областного бюджета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подключению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договором о 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(технологическом присоединении)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Целевое назначение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предоставления субсидий местным бюджетам является оказание государственной поддержки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образованиям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Получатель)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подключению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договором о 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(технологическом присоединении)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бюджетных ассигнований и лимитов бюджетных обязательств, предусмотренных министерству жилищно-коммунального хозяйства и энергетики Новосибирской области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порядке составления и ведения сводной бюджетной росписи и кассового плана областного бюджета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Порядок распределения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предельных уровней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предельных уровней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представленной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муниципальных образований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предварительной стоимости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подключению объектов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присоединение) рассчитывается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следующим критериям отбора: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муниципальных образований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предстоящем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сетей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технологического подключения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наличие информации органов местного самоуправления муниципальных образований Новосибирской области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(технологическое присоединение)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местным бюджетам устанавливается законом Новосибирской области об областном бюджете на соответствующий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IV.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субсидии, заключаемое между ГРБС 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Новоси</w:t>
      </w:r>
      <w:r>
        <w:rPr>
          <w:rFonts w:ascii="Times New Roman" w:hAnsi="Times New Roman" w:cs="Times New Roman"/>
          <w:sz w:val="28"/>
          <w:szCs w:val="28"/>
        </w:rPr>
        <w:t xml:space="preserve">бирской области от 09.01.2020 № </w:t>
      </w:r>
      <w:r>
        <w:rPr>
          <w:rFonts w:ascii="Times New Roman" w:hAnsi="Times New Roman" w:cs="Times New Roman"/>
          <w:sz w:val="28"/>
          <w:szCs w:val="28"/>
        </w:rPr>
        <w:t xml:space="preserve">1-НПА «Об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типовой формы соглашения о предоставлении субсидии из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бюджету муниципального образования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соглашение).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8 </w:t>
      </w:r>
      <w:r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бюджета Новосибирской области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установленных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 03.03.2020 №</w:t>
      </w:r>
      <w:r>
        <w:rPr>
          <w:rFonts w:ascii="Times New Roman" w:hAnsi="Times New Roman" w:cs="Times New Roman"/>
          <w:sz w:val="28"/>
          <w:szCs w:val="28"/>
        </w:rPr>
        <w:t xml:space="preserve"> 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6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При предоставлении местному бюджету субсидии на финансовое обеспечение расходных обязательств муниципальных районов,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поселений, в целях последующего предоставления субсидий в бюджеты поселений за счет средств указанных субсидий в соглашени</w:t>
      </w:r>
      <w:r>
        <w:rPr>
          <w:rFonts w:ascii="Times New Roman" w:hAnsi="Times New Roman" w:cs="Times New Roman"/>
          <w:sz w:val="28"/>
          <w:szCs w:val="28"/>
        </w:rPr>
        <w:t xml:space="preserve">и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устанавливаются предельные уровни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бюджета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66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наличие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олучателей, утверждающих поря</w:t>
      </w:r>
      <w:r>
        <w:rPr>
          <w:rFonts w:ascii="Times New Roman" w:hAnsi="Times New Roman" w:cs="Times New Roman"/>
          <w:sz w:val="28"/>
          <w:szCs w:val="28"/>
        </w:rPr>
        <w:t xml:space="preserve">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софинансируются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поселений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субсидий юридическим лицам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субсидий муниципальным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прочих субсидий юридическим лицам);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67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</w:r>
      <w:bookmarkStart w:id="4" w:name="P68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 xml:space="preserve">по исполнению расходных обязательств,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олучателей субсидий просроченной (неурегулированной) задолженности по денежным обязательствам перед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случаев, установленных местной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наличие неиспользованного остатка субсидий, предоставленных ранее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наличие заявки на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договоров о подключении (технологическом присоединении), актов о подключении (после завершения работ по подключению), документов, подтверждающих выполнение условий долевого софинансирования расходов за счет средств местного бюджета.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подключение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(технологическое присоединение)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(технологическом присоединении)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соблюдением следующих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 процентов платы за подключение вносится в течение 15 календарных дней со дня заключения договора о подключении;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процентов платы за подключение вносится в течение 90 календарных дней со дня заключения договора о подключении, но не позднее даты фактического подключения;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процентов платы за подключение вносится в течение 15 календарных дней со дня подписания сторонами акта о подключении, фиксирующего техническую готовность к подаче ресурсов на подключаемые объекты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объем</w:t>
      </w:r>
      <w:r>
        <w:rPr>
          <w:rFonts w:ascii="Times New Roman" w:hAnsi="Times New Roman" w:cs="Times New Roman"/>
          <w:sz w:val="28"/>
          <w:szCs w:val="28"/>
        </w:rPr>
        <w:t xml:space="preserve"> субсидии сокращаетс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объем бюджетных ассигнований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</w:t>
      </w:r>
      <w:r>
        <w:rPr>
          <w:rFonts w:ascii="Times New Roman" w:hAnsi="Times New Roman" w:cs="Times New Roman"/>
          <w:sz w:val="28"/>
          <w:szCs w:val="28"/>
        </w:rPr>
        <w:t xml:space="preserve">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тся субсиди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 в местном бюджете ниже уровней, предусмотренных порядками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субсидий, пропорционально снижению соответствующего уровня финансирования исполнения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ГРБС рассматривает представленную заявку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субсидии либо решение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 в течение 2 рабочих дней со дня ее представления.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неисполнение условий предоставления субсидий, предусмотренных </w:t>
      </w:r>
      <w:hyperlink w:tooltip="#P66" w:anchor="P6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hyperlink w:tooltip="#P68" w:anchor="P6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hyperlink w:tooltip="#P74" w:anchor="P7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6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ГРБС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выявления нарушения направляет П</w:t>
      </w:r>
      <w:r>
        <w:rPr>
          <w:rFonts w:ascii="Times New Roman" w:hAnsi="Times New Roman" w:cs="Times New Roman"/>
          <w:sz w:val="28"/>
          <w:szCs w:val="28"/>
        </w:rPr>
        <w:t xml:space="preserve">олучателю уведомление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субсидии с указанием оснований для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местному бюджету осуществляется в сроки, установленные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 лицевых счетов П</w:t>
      </w:r>
      <w:r>
        <w:rPr>
          <w:rFonts w:ascii="Times New Roman" w:hAnsi="Times New Roman" w:cs="Times New Roman"/>
          <w:sz w:val="28"/>
          <w:szCs w:val="28"/>
        </w:rPr>
        <w:t xml:space="preserve">олучателей или с лицевых счетов муниципальных казенных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органами местного самоуправления, на основании муниципальных контрактов, гражданско-правовых договоров, заключенных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законодательством, актов в</w:t>
      </w:r>
      <w:r>
        <w:rPr>
          <w:rFonts w:ascii="Times New Roman" w:hAnsi="Times New Roman" w:cs="Times New Roman"/>
          <w:sz w:val="28"/>
          <w:szCs w:val="28"/>
        </w:rPr>
        <w:t xml:space="preserve">ыполненных работ, счетов-фактур.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осуществление расходов производится с лицевых счетов Получателей на основании соглашений о предоставлении субсидий юридическим лицам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договоров о подк</w:t>
      </w:r>
      <w:r>
        <w:rPr>
          <w:rFonts w:ascii="Times New Roman" w:hAnsi="Times New Roman" w:cs="Times New Roman"/>
          <w:sz w:val="28"/>
          <w:szCs w:val="28"/>
        </w:rPr>
        <w:t xml:space="preserve">лючении (оплате за подключение (технологическое присоединение), а также соглашений о предоставлении субсидий некоммерческим организациям, не являющимся казенными учреждениями, источником финансового обеспечения которых являются субсидии местным бюджетам,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порядками предоставления субсидий,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Получателей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вправе передавать субсидии и иные межбюджетные трансферты в бюджеты городских поселений, расположенных в границах соответствующих муниципальных районов, на цель, определенную </w:t>
      </w:r>
      <w:hyperlink r:id="rId10" w:tooltip="consultantplus://offline/ref=AA59BDA3E9DC2EAEAFB5D1F848A970A5ACBACDDFD7BA1E92EACA53A1AF92CEFF8A4DD4306D39C1AEA0DAD4C55F924EF66BA02B5E6343B054FFA7860DU33E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V. Результаты использования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85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акта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подключении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VI. Порядок оценки эффективности использования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субсидии осуществляется ГРБС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основе отчета о достижении показателя результата использования субсидии, представляемого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в сроки, установленные в соглашении.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субсидии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достижение показателя результата использования субсидии,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календарны</w:t>
      </w:r>
      <w:r>
        <w:rPr>
          <w:rFonts w:ascii="Times New Roman" w:hAnsi="Times New Roman" w:cs="Times New Roman"/>
          <w:sz w:val="28"/>
          <w:szCs w:val="28"/>
        </w:rPr>
        <w:t xml:space="preserve">х дней с момента представления П</w:t>
      </w:r>
      <w:r>
        <w:rPr>
          <w:rFonts w:ascii="Times New Roman" w:hAnsi="Times New Roman" w:cs="Times New Roman"/>
          <w:sz w:val="28"/>
          <w:szCs w:val="28"/>
        </w:rPr>
        <w:t xml:space="preserve">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отчета о достижении показателя результата использования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 xml:space="preserve">готовит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(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)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результата,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не достигнуто установленное соглашением значение показателя результата использования субсидии, указанного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либо нарушены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соблюдению уровня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Получателя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средства субсидии подлежат возврату в областной бюджет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отчетном финансовом году, установлен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Новосибирской области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установленных постановлением Правительства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03.03.2020 №</w:t>
      </w:r>
      <w:r>
        <w:rPr>
          <w:rFonts w:ascii="Times New Roman" w:hAnsi="Times New Roman" w:cs="Times New Roman"/>
          <w:sz w:val="28"/>
          <w:szCs w:val="28"/>
        </w:rPr>
        <w:t xml:space="preserve"> 40-п.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VII. Основания и порядок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ответственности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соглашений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ГРБС и органы государственного финансового контроля Новосибирской области осуществляют обязательную проверку соблюдения условий, целей и порядка предоставления субсидий их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Остаток бюджетных средств, не использованный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соответствии с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Получатель и ГРБС несут ответственность за неисполнение или ненадлежащее исполнение обязательств по соглашению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8294861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1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1"/>
    <w:next w:val="861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61"/>
    <w:next w:val="861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61"/>
    <w:next w:val="86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1"/>
    <w:next w:val="86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7"/>
    <w:uiPriority w:val="99"/>
  </w:style>
  <w:style w:type="character" w:styleId="715">
    <w:name w:val="Footer Char"/>
    <w:basedOn w:val="862"/>
    <w:link w:val="879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79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67">
    <w:name w:val="Table Grid"/>
    <w:basedOn w:val="86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8">
    <w:name w:val="annotation reference"/>
    <w:basedOn w:val="862"/>
    <w:uiPriority w:val="99"/>
    <w:semiHidden/>
    <w:unhideWhenUsed/>
    <w:rPr>
      <w:sz w:val="16"/>
      <w:szCs w:val="16"/>
    </w:rPr>
  </w:style>
  <w:style w:type="paragraph" w:styleId="869">
    <w:name w:val="annotation text"/>
    <w:basedOn w:val="861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62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Balloon Text"/>
    <w:basedOn w:val="861"/>
    <w:link w:val="87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basedOn w:val="862"/>
    <w:link w:val="873"/>
    <w:uiPriority w:val="99"/>
    <w:semiHidden/>
    <w:rPr>
      <w:rFonts w:ascii="Segoe UI" w:hAnsi="Segoe UI" w:cs="Segoe UI"/>
      <w:sz w:val="18"/>
      <w:szCs w:val="18"/>
    </w:rPr>
  </w:style>
  <w:style w:type="paragraph" w:styleId="875">
    <w:name w:val="Revision"/>
    <w:hidden/>
    <w:uiPriority w:val="99"/>
    <w:semiHidden/>
    <w:pPr>
      <w:spacing w:after="0" w:line="240" w:lineRule="auto"/>
    </w:pPr>
  </w:style>
  <w:style w:type="paragraph" w:styleId="876">
    <w:name w:val="Normal (Web)"/>
    <w:basedOn w:val="8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Header"/>
    <w:basedOn w:val="861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2"/>
    <w:link w:val="877"/>
    <w:uiPriority w:val="99"/>
  </w:style>
  <w:style w:type="paragraph" w:styleId="879">
    <w:name w:val="Footer"/>
    <w:basedOn w:val="861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2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AA59BDA3E9DC2EAEAFB5D1F848A970A5ACBACDDFD7BA1E92EACA53A1AF92CEFF8A4DD4306D39C1AEA0DAD4C55F924EF66BA02B5E6343B054FFA7860DU33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Корбанов Денис Анатольевич</dc:creator>
  <cp:keywords/>
  <dc:description/>
  <cp:revision>89</cp:revision>
  <dcterms:created xsi:type="dcterms:W3CDTF">2021-08-23T04:37:00Z</dcterms:created>
  <dcterms:modified xsi:type="dcterms:W3CDTF">2024-08-29T11:09:14Z</dcterms:modified>
</cp:coreProperties>
</file>