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D" w:rsidRPr="00CA6342" w:rsidRDefault="005E5B7D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CA6342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ФИНАНСОВО-ЭКОНОМИЧЕСКОЕ ОБОСНОВАНИЕ</w:t>
      </w:r>
    </w:p>
    <w:p w:rsidR="00D82055" w:rsidRPr="00CA6342" w:rsidRDefault="00A02146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CA6342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к проекту приказа министерства промышленности, торговли и развития предпринимательства Новосибирской области </w:t>
      </w:r>
      <w:r w:rsidR="0010285C" w:rsidRPr="00CA6342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«</w:t>
      </w:r>
      <w:r w:rsidR="00D309BA" w:rsidRPr="00CA6342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О внесении изменений                            в приказ министерства промышленности, торговли и развития предпринимательства Новосибирской области от 21.03.2023 № 82-НПА»</w:t>
      </w:r>
    </w:p>
    <w:p w:rsidR="00097FC1" w:rsidRPr="00CA6342" w:rsidRDefault="00097FC1" w:rsidP="0009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</w:p>
    <w:p w:rsidR="005C25C7" w:rsidRPr="00CA6342" w:rsidRDefault="0010285C" w:rsidP="0084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Проект приказа «О</w:t>
      </w:r>
      <w:r w:rsidR="00D309BA" w:rsidRPr="00CA6342">
        <w:rPr>
          <w:sz w:val="27"/>
          <w:szCs w:val="27"/>
        </w:rPr>
        <w:t xml:space="preserve"> </w:t>
      </w:r>
      <w:r w:rsidR="00D309BA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21.03.2023 № 82-НПА» 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(далее – Проект) </w:t>
      </w:r>
      <w:r w:rsidRPr="002D47EC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подготовлен в целях </w:t>
      </w:r>
      <w:r w:rsidR="002E2E5C" w:rsidRPr="002D47EC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приведения объема средств областного бюджета, планируемых на реализацию государственной программы Новосибирской области «Развитие субъектов малого и среднего предпринимательства в Новосибирской области» на 2023 год, предусмотренного проектом постановления Правительства Новосибирской области «О внесении изменений в постановление Правительства Новосибирской области от 31.01.2017 №14-п» (далее – проект Программы)</w:t>
      </w:r>
      <w:r w:rsidR="002E2E5C" w:rsidRPr="002D47EC">
        <w:rPr>
          <w:sz w:val="27"/>
          <w:szCs w:val="27"/>
        </w:rPr>
        <w:t xml:space="preserve"> </w:t>
      </w:r>
      <w:r w:rsidR="002E2E5C" w:rsidRPr="002D47EC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соответствие Законом Новосибирской области от 23.12.2022 № 307-ОЗ «Об областном бюджете Новосибирской области на 2023 год и </w:t>
      </w:r>
      <w:r w:rsidR="002E2E5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плановый период 2024 и 2025 годов» (</w:t>
      </w:r>
      <w:r w:rsidR="00B17055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</w:t>
      </w:r>
      <w:r w:rsidR="002E2E5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ред. от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12</w:t>
      </w:r>
      <w:r w:rsidR="002E2E5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.07.2023</w:t>
      </w:r>
      <w:r w:rsidR="002D47E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№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353</w:t>
      </w:r>
      <w:r w:rsidR="002D47E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-ОЗ</w:t>
      </w:r>
      <w:r w:rsidR="002E2E5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)</w:t>
      </w:r>
      <w:r w:rsidR="00B17055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D47E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</w:t>
      </w:r>
      <w:r w:rsidR="00B17055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(далее –</w:t>
      </w:r>
      <w:r w:rsidR="002D47E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B17055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Закон о бюджете)</w:t>
      </w:r>
      <w:r w:rsidR="002E2E5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и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приведения</w:t>
      </w:r>
      <w:r w:rsidR="00D309BA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налоговых расходов </w:t>
      </w:r>
      <w:r w:rsidR="00D82055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на 2023</w:t>
      </w:r>
      <w:r w:rsidR="00061294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год</w:t>
      </w:r>
      <w:r w:rsidR="00D82055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в соответствие</w:t>
      </w:r>
      <w:r w:rsidR="005C25C7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E2E5C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с</w:t>
      </w:r>
      <w:r w:rsidR="00D309BA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A178C0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Законом Новосибирской области </w:t>
      </w:r>
      <w:r w:rsidR="005C25C7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от </w:t>
      </w:r>
      <w:r w:rsidR="00A178C0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16.10.2003</w:t>
      </w:r>
      <w:r w:rsidR="00CA6342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A178C0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№ 142-ОЗ </w:t>
      </w:r>
      <w:r w:rsidR="00D309BA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«</w:t>
      </w:r>
      <w:r w:rsidR="00A178C0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О налогах </w:t>
      </w:r>
      <w:r w:rsidR="00A178C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 особенностях налогообложения отдельных категорий налогоплательщиков</w:t>
      </w:r>
      <w:r w:rsidR="002E2E5C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</w:t>
      </w:r>
      <w:r w:rsidR="00A178C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Новосибирской области» (далее – Закон </w:t>
      </w:r>
      <w:r w:rsidR="00E27D3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от</w:t>
      </w:r>
      <w:r w:rsidR="00A178C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5C25C7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№ </w:t>
      </w:r>
      <w:r w:rsidR="00A178C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142-ОЗ)</w:t>
      </w:r>
      <w:r w:rsidR="005C25C7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.</w:t>
      </w:r>
    </w:p>
    <w:p w:rsidR="00D309BA" w:rsidRPr="00CA6342" w:rsidRDefault="00730B8D" w:rsidP="0002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соответствие с </w:t>
      </w:r>
      <w:r w:rsidR="00D309BA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Законом от № 142-ОЗ вносятся изменения в методику расчета целевого индикатора № 17 «Количество индивидуальных предпринимателей</w:t>
      </w:r>
      <w:r w:rsidR="00E20D2E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и организаций</w:t>
      </w:r>
      <w:r w:rsidR="00D309BA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, применяющих патентную и упрощенную систему налогообложения, воспользовавшихся налоговыми льготами и налоговыми каникулами» </w:t>
      </w:r>
      <w:r w:rsidR="000219BE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(Таблица 2 (Информация 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«Развитие субъектов малого и среднего предпринимательства в Новосибирской области» на очередной 2023 год) </w:t>
      </w:r>
      <w:r w:rsidR="00D309BA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части исключения </w:t>
      </w:r>
      <w:r w:rsidR="002C55F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из методики расчета показателя</w:t>
      </w:r>
      <w:r w:rsidR="000219BE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C55F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по  мероприятию № О3.3. </w:t>
      </w:r>
      <w:r w:rsidR="00D309BA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понятия «индивидуальные предприниматели» и включения понятия «организации», так как в соответствии </w:t>
      </w:r>
      <w:r w:rsidR="004662D0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</w:t>
      </w:r>
      <w:bookmarkStart w:id="0" w:name="_GoBack"/>
      <w:bookmarkEnd w:id="0"/>
      <w:r w:rsidR="00D309BA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с пунктом 18 статьи 8.11 Закона № 142-ОЗ налоговые льготы по уплате налога на имущество организаций предоставляются организациям, применяющим упрощенную систему налогообложения и включенным в единый реестр субъектов малого и среднего предпринимательства.</w:t>
      </w:r>
    </w:p>
    <w:p w:rsidR="00D309BA" w:rsidRPr="00CA6342" w:rsidRDefault="00D309BA" w:rsidP="002E2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целях приведения в соответствие с проектом Программы вносятся изменения в Таблицу № 3 «Подробный перечень планируемых к реализации мероприятий государственной программы Новосибирской области «Развитие субъектов малого и среднего </w:t>
      </w: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предпринимательства в Новосибирской области годы» на очередной 2023 год» в части приведения объема </w:t>
      </w:r>
      <w:r w:rsidR="002E2E5C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средства областного бюджета на 2023 год на реализацию 01. </w:t>
      </w:r>
      <w:proofErr w:type="spellStart"/>
      <w:r w:rsidR="002E2E5C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Общепрограммного</w:t>
      </w:r>
      <w:proofErr w:type="spellEnd"/>
      <w:r w:rsidR="002E2E5C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мероприятию «Акселерация субъектов малого и среднего предпринимательства», предусмотренных на реализацию данного мероприятия проектом Программы,</w:t>
      </w:r>
      <w:r w:rsidR="00CA6342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E2E5C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и объема </w:t>
      </w: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налоговых расходов по </w:t>
      </w:r>
      <w:proofErr w:type="spellStart"/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общепрограммному</w:t>
      </w:r>
      <w:proofErr w:type="spellEnd"/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мероприятию 03 «Предоставление налоговых льгот и налоговых каникул индивидуальным предпринимателям</w:t>
      </w:r>
      <w:r w:rsidR="00E20D2E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и организациям</w:t>
      </w: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, применяющим патентную и упрощенную систему налогообложения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» и итогам налоговых расходов на 2023 год с проектом Программы.</w:t>
      </w:r>
    </w:p>
    <w:p w:rsidR="002E2E5C" w:rsidRPr="009A6C71" w:rsidRDefault="002E2E5C" w:rsidP="002E2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 xml:space="preserve">Проектом приказа предусмотрено увеличение объема средств областного бюджета на реализацию 01. </w:t>
      </w:r>
      <w:proofErr w:type="spellStart"/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Общепрограммного</w:t>
      </w:r>
      <w:proofErr w:type="spellEnd"/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мероприятию «Акселерация субъектов малого и среднего предпринимательства» на 3</w:t>
      </w:r>
      <w:r w:rsidR="009A6C71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 090,9</w:t>
      </w:r>
      <w:r w:rsidR="00B17055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в целях проведения индексации фонда оплаты труда работников </w:t>
      </w:r>
      <w:r w:rsidR="00241BA4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некоммерческих</w:t>
      </w:r>
      <w:r w:rsidR="00B17055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организаций на 14,7% в 2023 году,</w:t>
      </w:r>
      <w:r w:rsidR="00241BA4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в том числе с 01.0</w:t>
      </w:r>
      <w:r w:rsid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8</w:t>
      </w:r>
      <w:r w:rsidR="00241BA4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.2023 на 9,7% и с 01.10.2023</w:t>
      </w:r>
      <w:r w:rsidR="00B17055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41BA4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на 5,0%, </w:t>
      </w:r>
      <w:r w:rsidR="00B17055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предусмотренных Законом о бюджете.</w:t>
      </w:r>
    </w:p>
    <w:p w:rsidR="00241BA4" w:rsidRPr="009A6C71" w:rsidRDefault="00241BA4" w:rsidP="0024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Также увеличение средств областного бюджета на 3</w:t>
      </w:r>
      <w:r w:rsidR="0006502C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 090,9</w:t>
      </w: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на 2023 год предусмотрено по детализированному </w:t>
      </w:r>
      <w:r w:rsidR="006F5B26"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мероприятию</w:t>
      </w:r>
      <w:r w:rsidRPr="009A6C71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О1.1.1. «Содержание АНО «Центр содействия развитию предпринимательства Новосибирской области».</w:t>
      </w:r>
    </w:p>
    <w:p w:rsidR="00D309BA" w:rsidRPr="00CA6342" w:rsidRDefault="00D309BA" w:rsidP="00A06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целом предполагается увеличить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плановый 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объем налоговых расходов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на 2023 год</w:t>
      </w:r>
      <w:r w:rsidR="00D256B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на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78 571,0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(</w:t>
      </w:r>
      <w:r w:rsidR="00D256B0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с 125 729,0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до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204 300,0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рублей),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плановое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количество субъектов МСП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–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уменьшено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на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156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 (с 1 289 ед.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до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1 133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ед.) (ожидаемые результаты на 2023 год на основании официальных данных ФНС России за 2022 год), 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в том числе:</w:t>
      </w:r>
    </w:p>
    <w:p w:rsidR="003C2A43" w:rsidRPr="00CA6342" w:rsidRDefault="00D256B0" w:rsidP="00A06C6F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по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мероприятию О3.1 «Предоставление налоговых каникул индивидуальным предпринимателям, применяющим патентную систему налогообложения»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плановый объем налоговых расходов предполагается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у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меньши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ть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на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568,0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</w:t>
      </w:r>
      <w:r w:rsid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(с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13 568,0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до </w:t>
      </w:r>
      <w:r w:rsid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13 000,0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рублей), 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плановое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количество субъектов МСП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–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у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меньшить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на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192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 (с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747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ед. до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555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ед.) (ожидаемые результаты на 2023 год </w:t>
      </w:r>
      <w:r w:rsidR="00CA6342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на основании официальных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данных ФНС России за 2022 год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по отчету «1-ПАТЕНТ»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)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;</w:t>
      </w:r>
    </w:p>
    <w:p w:rsidR="00A06C6F" w:rsidRPr="008469FE" w:rsidRDefault="00D256B0" w:rsidP="00A06C6F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по</w:t>
      </w:r>
      <w:r w:rsidR="003C2A43" w:rsidRPr="00CA6342">
        <w:rPr>
          <w:sz w:val="27"/>
          <w:szCs w:val="27"/>
        </w:rPr>
        <w:t xml:space="preserve"> </w:t>
      </w:r>
      <w:r w:rsidR="003C2A43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мероприятию О3.2 «</w:t>
      </w:r>
      <w:r w:rsidR="00A06C6F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Предоставление налоговых каникул индивидуальным предпринимателям, применяющим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упрощенную систему налогообложения» </w:t>
      </w:r>
      <w:proofErr w:type="gramStart"/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плановый</w:t>
      </w:r>
      <w:proofErr w:type="gramEnd"/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объем налоговых расходов предполагается увеличить </w:t>
      </w:r>
      <w:r w:rsidR="00CA6342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на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76 839,0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(с 105 661,0 тыс. рублей до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182 500,0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рублей), плановое количество субъектов МСП – увеличить на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54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 (с </w:t>
      </w:r>
      <w:r w:rsidR="00A9420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486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ед. до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540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ед.) (ожидаемые результаты на 2023 год на основании официальных данных ФНС России за 2022 год по отчету «5-УСН»);</w:t>
      </w:r>
    </w:p>
    <w:p w:rsidR="00D256B0" w:rsidRPr="008469FE" w:rsidRDefault="00D256B0" w:rsidP="00A9420E">
      <w:pPr>
        <w:pStyle w:val="a3"/>
        <w:numPr>
          <w:ilvl w:val="0"/>
          <w:numId w:val="6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по  мероприятию О3.3 «Предоставление налоговых льгот по уплате налога на имущество организаций, </w:t>
      </w:r>
      <w:r w:rsidR="00E20D2E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организациям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, применяющих упрощенную систему налогообложения и включенным в единый реестр субъектов малого и среднего предпринимательства, – в отношении нежилых помещений, включенных </w:t>
      </w:r>
      <w:r w:rsidR="00E20D2E"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</w:t>
      </w:r>
      <w:r w:rsidRPr="00CA6342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перечень объектов недвижимого имущества, в отношении которых налоговая база по налогу на имущество организаций и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налогу на имущество физических лиц определяется как кадастровая стоимость,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 расположенных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в многоквартирных домах» </w:t>
      </w:r>
      <w:r w:rsidR="00A06C6F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плановый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объем налоговых расходов на 2023 год </w:t>
      </w:r>
      <w:r w:rsidR="00A9420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предполагается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увелич</w:t>
      </w:r>
      <w:r w:rsidR="00A9420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ить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на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3 000,0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 (с 6 500,0 тыс. рублей до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9 500,0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тыс. рублей)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, количество субъектов МСП </w:t>
      </w:r>
      <w:r w:rsidR="00A9420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–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у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меньши</w:t>
      </w:r>
      <w:r w:rsidR="00A9420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ть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на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11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 (с 56 ед. до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45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ед.)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(ожидаемые результаты </w:t>
      </w:r>
      <w:r w:rsidR="008469FE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на 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2023 год на 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основании официальных данных ФНС России за 202</w:t>
      </w:r>
      <w:r w:rsidR="003C2A43"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2</w:t>
      </w: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 xml:space="preserve"> год).</w:t>
      </w:r>
    </w:p>
    <w:p w:rsidR="0032072B" w:rsidRPr="00CA6342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</w:pPr>
      <w:r w:rsidRPr="008469FE">
        <w:rPr>
          <w:rFonts w:ascii="Times New Roman" w:eastAsia="Times New Roman" w:hAnsi="Times New Roman" w:cs="Times New Roman"/>
          <w:sz w:val="27"/>
          <w:szCs w:val="27"/>
          <w:shd w:val="clear" w:color="auto" w:fill="FFFFFF" w:themeFill="background1"/>
        </w:rPr>
        <w:t>Принятие проекта не потребует дополнительного привлечения средств областного бюджета Новосибирской области.</w:t>
      </w:r>
    </w:p>
    <w:p w:rsidR="0010285C" w:rsidRPr="00CA6342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F5B26" w:rsidRPr="00CA6342" w:rsidRDefault="006F5B2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67DB8" w:rsidRPr="00CA6342" w:rsidRDefault="00606F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3B484F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D86726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>нистр</w:t>
      </w:r>
      <w:r w:rsidR="006742D2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67DB8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>промышленности, торговли</w:t>
      </w:r>
    </w:p>
    <w:p w:rsidR="00E67DB8" w:rsidRPr="00CA6342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развития предпринимательства </w:t>
      </w:r>
    </w:p>
    <w:p w:rsidR="0075368C" w:rsidRPr="00CA6342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Новосибирской области</w:t>
      </w:r>
      <w:r w:rsidR="00D86726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D86726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D86726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BC3458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9871F8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75368C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3227EF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42F6E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75368C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75368C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5412AC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16774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2A37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5412AC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216774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3B484F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606FE3" w:rsidRPr="00CA63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А.А. Гончаров</w:t>
      </w:r>
    </w:p>
    <w:p w:rsidR="003B12F7" w:rsidRPr="003B12F7" w:rsidRDefault="003B12F7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6F5B26" w:rsidRDefault="006F5B2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5B26" w:rsidRDefault="006F5B2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6F5B26">
      <w:headerReference w:type="default" r:id="rId8"/>
      <w:footerReference w:type="default" r:id="rId9"/>
      <w:headerReference w:type="first" r:id="rId10"/>
      <w:pgSz w:w="11906" w:h="16838"/>
      <w:pgMar w:top="0" w:right="567" w:bottom="567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DA" w:rsidRDefault="00681FDA" w:rsidP="009741F2">
      <w:pPr>
        <w:spacing w:after="0" w:line="240" w:lineRule="auto"/>
      </w:pPr>
      <w:r>
        <w:separator/>
      </w:r>
    </w:p>
  </w:endnote>
  <w:endnote w:type="continuationSeparator" w:id="0">
    <w:p w:rsidR="00681FDA" w:rsidRDefault="00681FDA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DA" w:rsidRDefault="00681FDA" w:rsidP="009741F2">
      <w:pPr>
        <w:spacing w:after="0" w:line="240" w:lineRule="auto"/>
      </w:pPr>
      <w:r>
        <w:separator/>
      </w:r>
    </w:p>
  </w:footnote>
  <w:footnote w:type="continuationSeparator" w:id="0">
    <w:p w:rsidR="00681FDA" w:rsidRDefault="00681FDA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4662D0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083"/>
    <w:multiLevelType w:val="hybridMultilevel"/>
    <w:tmpl w:val="2B98E04C"/>
    <w:lvl w:ilvl="0" w:tplc="ECC62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5" w15:restartNumberingAfterBreak="0">
    <w:nsid w:val="6C641332"/>
    <w:multiLevelType w:val="hybridMultilevel"/>
    <w:tmpl w:val="72164D9A"/>
    <w:lvl w:ilvl="0" w:tplc="FC2CDFF6">
      <w:start w:val="1"/>
      <w:numFmt w:val="decimal"/>
      <w:lvlText w:val="%1)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19BE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4E44"/>
    <w:rsid w:val="000569E3"/>
    <w:rsid w:val="00056C15"/>
    <w:rsid w:val="00056E2C"/>
    <w:rsid w:val="00060386"/>
    <w:rsid w:val="00060B1A"/>
    <w:rsid w:val="00061294"/>
    <w:rsid w:val="00061813"/>
    <w:rsid w:val="0006370C"/>
    <w:rsid w:val="0006502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2E3C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85C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701"/>
    <w:rsid w:val="00122C5A"/>
    <w:rsid w:val="00122E79"/>
    <w:rsid w:val="00124974"/>
    <w:rsid w:val="00132A7C"/>
    <w:rsid w:val="001336F1"/>
    <w:rsid w:val="0013387D"/>
    <w:rsid w:val="00133FE6"/>
    <w:rsid w:val="00137996"/>
    <w:rsid w:val="001434F6"/>
    <w:rsid w:val="0014382D"/>
    <w:rsid w:val="001450B1"/>
    <w:rsid w:val="00145C94"/>
    <w:rsid w:val="0014612B"/>
    <w:rsid w:val="00146303"/>
    <w:rsid w:val="00146E97"/>
    <w:rsid w:val="001473D9"/>
    <w:rsid w:val="001477D3"/>
    <w:rsid w:val="00147945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88F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1BA4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77D7A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6B60"/>
    <w:rsid w:val="002B7D22"/>
    <w:rsid w:val="002C1311"/>
    <w:rsid w:val="002C2587"/>
    <w:rsid w:val="002C2B09"/>
    <w:rsid w:val="002C55F0"/>
    <w:rsid w:val="002C66B7"/>
    <w:rsid w:val="002D47EC"/>
    <w:rsid w:val="002D597C"/>
    <w:rsid w:val="002E0E57"/>
    <w:rsid w:val="002E1494"/>
    <w:rsid w:val="002E16F6"/>
    <w:rsid w:val="002E248B"/>
    <w:rsid w:val="002E2E5C"/>
    <w:rsid w:val="002E737C"/>
    <w:rsid w:val="002E7F99"/>
    <w:rsid w:val="002F1BCB"/>
    <w:rsid w:val="002F2D67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49D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510D1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2C80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D32"/>
    <w:rsid w:val="003B12F7"/>
    <w:rsid w:val="003B187B"/>
    <w:rsid w:val="003B3081"/>
    <w:rsid w:val="003B484F"/>
    <w:rsid w:val="003B4B4D"/>
    <w:rsid w:val="003B4F61"/>
    <w:rsid w:val="003B68D9"/>
    <w:rsid w:val="003B72AA"/>
    <w:rsid w:val="003C239F"/>
    <w:rsid w:val="003C2421"/>
    <w:rsid w:val="003C2A43"/>
    <w:rsid w:val="003C5A75"/>
    <w:rsid w:val="003D2F1A"/>
    <w:rsid w:val="003D4CB8"/>
    <w:rsid w:val="003D51E2"/>
    <w:rsid w:val="003D6FE4"/>
    <w:rsid w:val="003D7AFD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497C"/>
    <w:rsid w:val="00406DF0"/>
    <w:rsid w:val="0041349E"/>
    <w:rsid w:val="00413542"/>
    <w:rsid w:val="00413D22"/>
    <w:rsid w:val="004144B3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3A60"/>
    <w:rsid w:val="00453FB7"/>
    <w:rsid w:val="00461C7D"/>
    <w:rsid w:val="00462109"/>
    <w:rsid w:val="00462281"/>
    <w:rsid w:val="004627B2"/>
    <w:rsid w:val="00462CEE"/>
    <w:rsid w:val="00462E79"/>
    <w:rsid w:val="00463723"/>
    <w:rsid w:val="00463DC0"/>
    <w:rsid w:val="00463DC4"/>
    <w:rsid w:val="0046588F"/>
    <w:rsid w:val="004662D0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257A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6D37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1B8E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27DA7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25C7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5B7D"/>
    <w:rsid w:val="005F1086"/>
    <w:rsid w:val="005F40BB"/>
    <w:rsid w:val="005F576A"/>
    <w:rsid w:val="00600606"/>
    <w:rsid w:val="00601854"/>
    <w:rsid w:val="00602516"/>
    <w:rsid w:val="006069A4"/>
    <w:rsid w:val="00606FE3"/>
    <w:rsid w:val="00611B7D"/>
    <w:rsid w:val="00612507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1FDA"/>
    <w:rsid w:val="00686984"/>
    <w:rsid w:val="006873BD"/>
    <w:rsid w:val="006876E2"/>
    <w:rsid w:val="00687A19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D7E6E"/>
    <w:rsid w:val="006E17C0"/>
    <w:rsid w:val="006E2FB0"/>
    <w:rsid w:val="006E330A"/>
    <w:rsid w:val="006E5C3E"/>
    <w:rsid w:val="006F344A"/>
    <w:rsid w:val="006F5B26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0B8D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C6998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0FBD"/>
    <w:rsid w:val="00811C96"/>
    <w:rsid w:val="008163FD"/>
    <w:rsid w:val="008176B4"/>
    <w:rsid w:val="00817A40"/>
    <w:rsid w:val="008201B0"/>
    <w:rsid w:val="00821A47"/>
    <w:rsid w:val="008222A2"/>
    <w:rsid w:val="00823B29"/>
    <w:rsid w:val="00827E71"/>
    <w:rsid w:val="008319BB"/>
    <w:rsid w:val="0083213A"/>
    <w:rsid w:val="00832F3E"/>
    <w:rsid w:val="00834EA7"/>
    <w:rsid w:val="00837E84"/>
    <w:rsid w:val="0084016E"/>
    <w:rsid w:val="0084145F"/>
    <w:rsid w:val="00841A0E"/>
    <w:rsid w:val="00841C7E"/>
    <w:rsid w:val="0084260E"/>
    <w:rsid w:val="008432E4"/>
    <w:rsid w:val="00843FC4"/>
    <w:rsid w:val="00845C4C"/>
    <w:rsid w:val="008469FE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B45"/>
    <w:rsid w:val="00937E34"/>
    <w:rsid w:val="00943941"/>
    <w:rsid w:val="009457BE"/>
    <w:rsid w:val="00946E16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61E"/>
    <w:rsid w:val="009A419B"/>
    <w:rsid w:val="009A6C71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65D1"/>
    <w:rsid w:val="00A06C6F"/>
    <w:rsid w:val="00A14120"/>
    <w:rsid w:val="00A178C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443E0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9420E"/>
    <w:rsid w:val="00AA0700"/>
    <w:rsid w:val="00AA42F0"/>
    <w:rsid w:val="00AB05DF"/>
    <w:rsid w:val="00AB17CC"/>
    <w:rsid w:val="00AB2906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055"/>
    <w:rsid w:val="00B1728E"/>
    <w:rsid w:val="00B1751E"/>
    <w:rsid w:val="00B1781C"/>
    <w:rsid w:val="00B20E92"/>
    <w:rsid w:val="00B21507"/>
    <w:rsid w:val="00B21A41"/>
    <w:rsid w:val="00B22CB0"/>
    <w:rsid w:val="00B23C9C"/>
    <w:rsid w:val="00B242E7"/>
    <w:rsid w:val="00B270BD"/>
    <w:rsid w:val="00B30164"/>
    <w:rsid w:val="00B3464F"/>
    <w:rsid w:val="00B348B7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766B3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BF7A78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34A8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38CF"/>
    <w:rsid w:val="00CA57E7"/>
    <w:rsid w:val="00CA6342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56B0"/>
    <w:rsid w:val="00D27F2C"/>
    <w:rsid w:val="00D30769"/>
    <w:rsid w:val="00D309BA"/>
    <w:rsid w:val="00D31937"/>
    <w:rsid w:val="00D32CAC"/>
    <w:rsid w:val="00D33920"/>
    <w:rsid w:val="00D36DF3"/>
    <w:rsid w:val="00D4097D"/>
    <w:rsid w:val="00D42A37"/>
    <w:rsid w:val="00D46A8D"/>
    <w:rsid w:val="00D46DEB"/>
    <w:rsid w:val="00D51249"/>
    <w:rsid w:val="00D53704"/>
    <w:rsid w:val="00D53AB3"/>
    <w:rsid w:val="00D57C7E"/>
    <w:rsid w:val="00D602EC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2055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759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1149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0D2E"/>
    <w:rsid w:val="00E265EB"/>
    <w:rsid w:val="00E268A5"/>
    <w:rsid w:val="00E27D30"/>
    <w:rsid w:val="00E30877"/>
    <w:rsid w:val="00E31298"/>
    <w:rsid w:val="00E32340"/>
    <w:rsid w:val="00E37869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1151"/>
    <w:rsid w:val="00E63FC9"/>
    <w:rsid w:val="00E6657B"/>
    <w:rsid w:val="00E66F91"/>
    <w:rsid w:val="00E67086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4B8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B7389"/>
    <w:rsid w:val="00FC0B9E"/>
    <w:rsid w:val="00FC132A"/>
    <w:rsid w:val="00FD530C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465E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418094-0378-4BD4-91EE-81691E2B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10</cp:revision>
  <cp:lastPrinted>2021-06-28T06:25:00Z</cp:lastPrinted>
  <dcterms:created xsi:type="dcterms:W3CDTF">2023-05-19T09:51:00Z</dcterms:created>
  <dcterms:modified xsi:type="dcterms:W3CDTF">2023-07-28T06:36:00Z</dcterms:modified>
</cp:coreProperties>
</file>