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875AC0" w14:paraId="00D37FAB" w14:textId="77777777">
        <w:trPr>
          <w:trHeight w:val="1158"/>
        </w:trPr>
        <w:tc>
          <w:tcPr>
            <w:tcW w:w="10065" w:type="dxa"/>
            <w:gridSpan w:val="7"/>
          </w:tcPr>
          <w:p w14:paraId="3605351E" w14:textId="77777777" w:rsidR="00875AC0" w:rsidRDefault="00193FAB">
            <w:pPr>
              <w:spacing w:line="252" w:lineRule="auto"/>
              <w:jc w:val="center"/>
              <w:rPr>
                <w:sz w:val="2"/>
                <w:szCs w:val="2"/>
              </w:rPr>
            </w:pPr>
            <w:r>
              <w:rPr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038EE3B" wp14:editId="33183057">
                  <wp:extent cx="542925" cy="657225"/>
                  <wp:effectExtent l="0" t="0" r="0" b="0"/>
                  <wp:docPr id="1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20000" contrast="40000"/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AC0" w14:paraId="31C3D952" w14:textId="77777777">
        <w:trPr>
          <w:trHeight w:val="226"/>
        </w:trPr>
        <w:tc>
          <w:tcPr>
            <w:tcW w:w="10065" w:type="dxa"/>
            <w:gridSpan w:val="7"/>
          </w:tcPr>
          <w:p w14:paraId="4CD56656" w14:textId="77777777" w:rsidR="00875AC0" w:rsidRDefault="00875AC0">
            <w:pPr>
              <w:rPr>
                <w:sz w:val="18"/>
              </w:rPr>
            </w:pPr>
          </w:p>
        </w:tc>
      </w:tr>
      <w:tr w:rsidR="00875AC0" w14:paraId="3D22E4CD" w14:textId="77777777">
        <w:trPr>
          <w:trHeight w:val="356"/>
        </w:trPr>
        <w:tc>
          <w:tcPr>
            <w:tcW w:w="10065" w:type="dxa"/>
            <w:gridSpan w:val="7"/>
          </w:tcPr>
          <w:p w14:paraId="4174E931" w14:textId="77777777" w:rsidR="00875AC0" w:rsidRDefault="00193F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875AC0" w14:paraId="0ABDBBF0" w14:textId="77777777">
        <w:trPr>
          <w:trHeight w:val="226"/>
        </w:trPr>
        <w:tc>
          <w:tcPr>
            <w:tcW w:w="2075" w:type="dxa"/>
          </w:tcPr>
          <w:p w14:paraId="7EB06ACE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2075" w:type="dxa"/>
          </w:tcPr>
          <w:p w14:paraId="50FE54F9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2075" w:type="dxa"/>
          </w:tcPr>
          <w:p w14:paraId="480EC347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2076" w:type="dxa"/>
            <w:gridSpan w:val="2"/>
          </w:tcPr>
          <w:p w14:paraId="79664711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1764" w:type="dxa"/>
            <w:gridSpan w:val="2"/>
          </w:tcPr>
          <w:p w14:paraId="63C153EE" w14:textId="77777777" w:rsidR="00875AC0" w:rsidRDefault="00875AC0">
            <w:pPr>
              <w:rPr>
                <w:sz w:val="18"/>
              </w:rPr>
            </w:pPr>
          </w:p>
        </w:tc>
      </w:tr>
      <w:tr w:rsidR="00875AC0" w14:paraId="3CBAB90F" w14:textId="77777777">
        <w:trPr>
          <w:trHeight w:val="339"/>
        </w:trPr>
        <w:tc>
          <w:tcPr>
            <w:tcW w:w="10065" w:type="dxa"/>
            <w:gridSpan w:val="7"/>
          </w:tcPr>
          <w:p w14:paraId="2BDF9DF0" w14:textId="77777777" w:rsidR="00875AC0" w:rsidRDefault="00193FAB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ПРИКАЗ</w:t>
            </w:r>
          </w:p>
        </w:tc>
      </w:tr>
      <w:tr w:rsidR="00875AC0" w14:paraId="1E1B02D1" w14:textId="77777777">
        <w:trPr>
          <w:trHeight w:val="356"/>
        </w:trPr>
        <w:tc>
          <w:tcPr>
            <w:tcW w:w="2075" w:type="dxa"/>
            <w:tcBorders>
              <w:bottom w:val="single" w:sz="4" w:space="0" w:color="auto"/>
            </w:tcBorders>
          </w:tcPr>
          <w:p w14:paraId="625A491E" w14:textId="77777777" w:rsidR="00875AC0" w:rsidRDefault="00875AC0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075" w:type="dxa"/>
          </w:tcPr>
          <w:p w14:paraId="3CB3E77B" w14:textId="77777777" w:rsidR="00875AC0" w:rsidRDefault="00875AC0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5CC41C85" w14:textId="77777777" w:rsidR="00875AC0" w:rsidRDefault="00875AC0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6A86F50D" w14:textId="77777777" w:rsidR="00875AC0" w:rsidRDefault="00875AC0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14:paraId="5673F2A6" w14:textId="77777777" w:rsidR="00875AC0" w:rsidRDefault="00193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</w:p>
        </w:tc>
        <w:tc>
          <w:tcPr>
            <w:tcW w:w="1495" w:type="dxa"/>
          </w:tcPr>
          <w:p w14:paraId="3930BEF8" w14:textId="77777777" w:rsidR="00875AC0" w:rsidRDefault="00193FAB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</w:t>
            </w:r>
          </w:p>
        </w:tc>
      </w:tr>
      <w:tr w:rsidR="00875AC0" w14:paraId="0DE79352" w14:textId="77777777">
        <w:trPr>
          <w:trHeight w:val="291"/>
        </w:trPr>
        <w:tc>
          <w:tcPr>
            <w:tcW w:w="2075" w:type="dxa"/>
            <w:tcBorders>
              <w:top w:val="single" w:sz="4" w:space="0" w:color="auto"/>
            </w:tcBorders>
          </w:tcPr>
          <w:p w14:paraId="0D47D3C9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2075" w:type="dxa"/>
          </w:tcPr>
          <w:p w14:paraId="179480EA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2075" w:type="dxa"/>
          </w:tcPr>
          <w:p w14:paraId="37226202" w14:textId="77777777" w:rsidR="00875AC0" w:rsidRDefault="00193FAB">
            <w:pPr>
              <w:jc w:val="center"/>
            </w:pPr>
            <w:r>
              <w:t>г. Новосибирск</w:t>
            </w:r>
          </w:p>
        </w:tc>
        <w:tc>
          <w:tcPr>
            <w:tcW w:w="1809" w:type="dxa"/>
          </w:tcPr>
          <w:p w14:paraId="3D16A7C4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536" w:type="dxa"/>
            <w:gridSpan w:val="2"/>
          </w:tcPr>
          <w:p w14:paraId="292ED728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1495" w:type="dxa"/>
          </w:tcPr>
          <w:p w14:paraId="0500E1EA" w14:textId="77777777" w:rsidR="00875AC0" w:rsidRDefault="00875AC0">
            <w:pPr>
              <w:rPr>
                <w:sz w:val="18"/>
              </w:rPr>
            </w:pPr>
          </w:p>
        </w:tc>
      </w:tr>
    </w:tbl>
    <w:p w14:paraId="080B64F1" w14:textId="77777777" w:rsidR="00875AC0" w:rsidRDefault="00875AC0">
      <w:pPr>
        <w:jc w:val="both"/>
        <w:rPr>
          <w:sz w:val="28"/>
          <w:szCs w:val="20"/>
        </w:rPr>
      </w:pPr>
    </w:p>
    <w:p w14:paraId="382C3536" w14:textId="77777777" w:rsidR="00875AC0" w:rsidRDefault="00193FA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здравоохранения Новосибирской области от 07.06.2024 </w:t>
      </w:r>
      <w:r w:rsidR="002B7276">
        <w:rPr>
          <w:b/>
          <w:sz w:val="28"/>
          <w:szCs w:val="28"/>
        </w:rPr>
        <w:t>№</w:t>
      </w:r>
      <w:r w:rsidR="002B7276"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 xml:space="preserve">1514-НПА </w:t>
      </w:r>
    </w:p>
    <w:p w14:paraId="13023349" w14:textId="77777777" w:rsidR="00875AC0" w:rsidRDefault="00193FAB">
      <w:pPr>
        <w:pStyle w:val="54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7622C1" w14:textId="77777777" w:rsidR="00875AC0" w:rsidRDefault="00193FA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 р и к а з ы в а ю:</w:t>
      </w:r>
    </w:p>
    <w:p w14:paraId="0D20188A" w14:textId="77777777" w:rsidR="00875AC0" w:rsidRDefault="00193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2B7276">
        <w:rPr>
          <w:sz w:val="28"/>
          <w:szCs w:val="28"/>
        </w:rPr>
        <w:t>от</w:t>
      </w:r>
      <w:r w:rsidR="002B727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07.06.2024 </w:t>
      </w:r>
      <w:r w:rsidR="002B7276">
        <w:rPr>
          <w:sz w:val="28"/>
          <w:szCs w:val="28"/>
        </w:rPr>
        <w:t>№</w:t>
      </w:r>
      <w:r w:rsidR="002B727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1514-НПА «О маршрутизации пациентов старше 18 лет для проведения отдельных видов диагностических исследований при оказании первичной медико-санитарной помощи» следующие изменения: </w:t>
      </w:r>
    </w:p>
    <w:p w14:paraId="235A121E" w14:textId="77777777" w:rsidR="00C41844" w:rsidRDefault="00193FAB">
      <w:pPr>
        <w:widowControl w:val="0"/>
        <w:spacing w:line="283" w:lineRule="exact"/>
        <w:ind w:firstLine="709"/>
        <w:jc w:val="both"/>
        <w:rPr>
          <w:rStyle w:val="af7"/>
          <w:szCs w:val="28"/>
        </w:rPr>
      </w:pPr>
      <w:r>
        <w:rPr>
          <w:rStyle w:val="af7"/>
          <w:szCs w:val="28"/>
        </w:rPr>
        <w:t>1</w:t>
      </w:r>
      <w:r w:rsidR="00C41844">
        <w:rPr>
          <w:rStyle w:val="af7"/>
          <w:szCs w:val="28"/>
        </w:rPr>
        <w:t>. </w:t>
      </w:r>
      <w:r w:rsidR="00C41844" w:rsidRPr="00C41844">
        <w:rPr>
          <w:rStyle w:val="af7"/>
          <w:szCs w:val="28"/>
        </w:rPr>
        <w:t xml:space="preserve">Пункт 1 изложить в следующей редакции: </w:t>
      </w:r>
    </w:p>
    <w:p w14:paraId="5175D447" w14:textId="27F0ACC9" w:rsidR="008478F3" w:rsidRDefault="00C41844">
      <w:pPr>
        <w:widowControl w:val="0"/>
        <w:spacing w:line="283" w:lineRule="exact"/>
        <w:ind w:firstLine="709"/>
        <w:jc w:val="both"/>
        <w:rPr>
          <w:rStyle w:val="af7"/>
          <w:szCs w:val="28"/>
        </w:rPr>
      </w:pPr>
      <w:r>
        <w:rPr>
          <w:rStyle w:val="af7"/>
          <w:szCs w:val="28"/>
        </w:rPr>
        <w:t>«</w:t>
      </w:r>
      <w:r w:rsidR="00E15E92" w:rsidRPr="00C36B90">
        <w:rPr>
          <w:rStyle w:val="af7"/>
          <w:szCs w:val="28"/>
        </w:rPr>
        <w:t>1</w:t>
      </w:r>
      <w:r w:rsidR="00E15E92">
        <w:rPr>
          <w:rStyle w:val="af7"/>
          <w:szCs w:val="28"/>
        </w:rPr>
        <w:t>.</w:t>
      </w:r>
      <w:r w:rsidR="00E15E92">
        <w:rPr>
          <w:rStyle w:val="af7"/>
          <w:szCs w:val="28"/>
          <w:lang w:val="en-US"/>
        </w:rPr>
        <w:t> </w:t>
      </w:r>
      <w:r w:rsidR="008478F3" w:rsidRPr="008478F3">
        <w:rPr>
          <w:rStyle w:val="af7"/>
          <w:szCs w:val="28"/>
        </w:rPr>
        <w:t xml:space="preserve">Утвердить прилагаемую маршрутизацию пациентов старше 18 лет при проведении компьютерной томографии, магнитно-резонансной томографии, эндоскопических диагностических исследований,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терапии, молекулярно-генетических исследований с целью выявления онкологических заболеваний, ультразвукового исследования сердечно-сосудистой системы </w:t>
      </w:r>
      <w:r w:rsidR="00EE6458" w:rsidRPr="00EE6458">
        <w:rPr>
          <w:sz w:val="28"/>
          <w:szCs w:val="28"/>
        </w:rPr>
        <w:t>(далее-диагностические исследования</w:t>
      </w:r>
      <w:r w:rsidR="00EE6458">
        <w:rPr>
          <w:sz w:val="28"/>
          <w:szCs w:val="28"/>
        </w:rPr>
        <w:t>)</w:t>
      </w:r>
      <w:r w:rsidR="00EE6458" w:rsidRPr="008478F3">
        <w:rPr>
          <w:rStyle w:val="af7"/>
          <w:szCs w:val="28"/>
        </w:rPr>
        <w:t xml:space="preserve"> </w:t>
      </w:r>
      <w:r w:rsidR="008478F3" w:rsidRPr="008478F3">
        <w:rPr>
          <w:rStyle w:val="af7"/>
          <w:szCs w:val="28"/>
        </w:rPr>
        <w:t>при оказании первичной медико-санитарной помощи, в том числе для проведения диагностических исследований при подозрении или выявлении злокачественных новообразований и при проведении диспансеризации определённых групп взрослого населения (далее – схема маршрутизации)</w:t>
      </w:r>
      <w:r w:rsidR="008478F3">
        <w:rPr>
          <w:rStyle w:val="af7"/>
          <w:szCs w:val="28"/>
        </w:rPr>
        <w:t>»</w:t>
      </w:r>
      <w:r w:rsidR="008478F3" w:rsidRPr="008478F3">
        <w:rPr>
          <w:rStyle w:val="af7"/>
          <w:szCs w:val="28"/>
        </w:rPr>
        <w:t>.</w:t>
      </w:r>
      <w:bookmarkStart w:id="0" w:name="_GoBack"/>
      <w:bookmarkEnd w:id="0"/>
    </w:p>
    <w:p w14:paraId="305D774B" w14:textId="77777777" w:rsidR="008478F3" w:rsidRDefault="008478F3">
      <w:pPr>
        <w:widowControl w:val="0"/>
        <w:spacing w:line="283" w:lineRule="exact"/>
        <w:ind w:firstLine="709"/>
        <w:jc w:val="both"/>
        <w:rPr>
          <w:rStyle w:val="af7"/>
          <w:szCs w:val="28"/>
        </w:rPr>
      </w:pPr>
      <w:r>
        <w:rPr>
          <w:rStyle w:val="af7"/>
          <w:szCs w:val="28"/>
        </w:rPr>
        <w:t>2.</w:t>
      </w:r>
      <w:r w:rsidR="00A40667">
        <w:rPr>
          <w:rStyle w:val="af7"/>
          <w:szCs w:val="28"/>
        </w:rPr>
        <w:t> </w:t>
      </w:r>
      <w:r>
        <w:rPr>
          <w:rStyle w:val="af7"/>
          <w:szCs w:val="28"/>
        </w:rPr>
        <w:t xml:space="preserve">Маршрутизацию </w:t>
      </w:r>
      <w:r>
        <w:rPr>
          <w:sz w:val="28"/>
          <w:szCs w:val="28"/>
        </w:rPr>
        <w:t xml:space="preserve">пациентов старше 18 лет при проведении компьютерной томографии, магнитно-резонансной томографии, эндоскопических диагностических исследований,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терапии, молекулярно-генетических исследований с целью выявления онкологических заболеваний, ультразвукового исследования сердечно-сосудистой системы изложить в редакции согласно приложению к настоящему приказу. </w:t>
      </w:r>
    </w:p>
    <w:p w14:paraId="0CB64760" w14:textId="77777777" w:rsidR="008478F3" w:rsidRDefault="008478F3" w:rsidP="008478F3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14:paraId="47DCDA28" w14:textId="77777777" w:rsidR="008478F3" w:rsidRDefault="008478F3" w:rsidP="008478F3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14:paraId="7EAA17C7" w14:textId="77777777" w:rsidR="008478F3" w:rsidRDefault="008478F3" w:rsidP="008478F3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14:paraId="5E5F3908" w14:textId="77777777" w:rsidR="008478F3" w:rsidRDefault="008478F3" w:rsidP="008478F3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К.В. Хальзов</w:t>
      </w:r>
    </w:p>
    <w:p w14:paraId="061BDEF9" w14:textId="77777777" w:rsidR="00A40667" w:rsidRDefault="00A40667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14:paraId="76459B9E" w14:textId="77777777" w:rsidR="00A40667" w:rsidRDefault="00A40667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14:paraId="67700032" w14:textId="77777777" w:rsidR="008478F3" w:rsidRDefault="008478F3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14:paraId="4EC46B7C" w14:textId="77777777" w:rsidR="00A40667" w:rsidRDefault="00193FAB">
      <w:pPr>
        <w:tabs>
          <w:tab w:val="left" w:pos="1067"/>
          <w:tab w:val="left" w:pos="8364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С.Н.</w:t>
      </w:r>
      <w:r w:rsidR="00CA1F7B">
        <w:rPr>
          <w:sz w:val="20"/>
          <w:szCs w:val="20"/>
        </w:rPr>
        <w:t> </w:t>
      </w:r>
      <w:r w:rsidR="00A40667">
        <w:rPr>
          <w:sz w:val="20"/>
          <w:szCs w:val="20"/>
        </w:rPr>
        <w:t>Боровкова</w:t>
      </w:r>
    </w:p>
    <w:p w14:paraId="605C4E69" w14:textId="77777777" w:rsidR="00875AC0" w:rsidRPr="00C36B90" w:rsidRDefault="00193FAB">
      <w:pPr>
        <w:tabs>
          <w:tab w:val="left" w:pos="1067"/>
          <w:tab w:val="left" w:pos="8364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(383) 238 62 43</w:t>
      </w:r>
    </w:p>
    <w:sectPr w:rsidR="00875AC0" w:rsidRPr="00C36B90">
      <w:headerReference w:type="default" r:id="rId9"/>
      <w:type w:val="continuous"/>
      <w:pgSz w:w="11906" w:h="16838"/>
      <w:pgMar w:top="1134" w:right="567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A3F83" w14:textId="77777777" w:rsidR="00983914" w:rsidRDefault="00983914">
      <w:r>
        <w:separator/>
      </w:r>
    </w:p>
  </w:endnote>
  <w:endnote w:type="continuationSeparator" w:id="0">
    <w:p w14:paraId="6E425066" w14:textId="77777777" w:rsidR="00983914" w:rsidRDefault="0098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F441C" w14:textId="77777777" w:rsidR="00983914" w:rsidRDefault="00983914">
      <w:r>
        <w:separator/>
      </w:r>
    </w:p>
  </w:footnote>
  <w:footnote w:type="continuationSeparator" w:id="0">
    <w:p w14:paraId="0BDD2A2E" w14:textId="77777777" w:rsidR="00983914" w:rsidRDefault="0098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8BB43" w14:textId="07E687AC" w:rsidR="00875AC0" w:rsidRDefault="00875AC0">
    <w:pPr>
      <w:pStyle w:val="a9"/>
      <w:jc w:val="center"/>
    </w:pPr>
  </w:p>
  <w:p w14:paraId="7684FBC9" w14:textId="77777777" w:rsidR="00875AC0" w:rsidRDefault="00875A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8B0"/>
    <w:multiLevelType w:val="hybridMultilevel"/>
    <w:tmpl w:val="B1905510"/>
    <w:lvl w:ilvl="0" w:tplc="977AC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252E2">
      <w:start w:val="1"/>
      <w:numFmt w:val="lowerLetter"/>
      <w:lvlText w:val="%2."/>
      <w:lvlJc w:val="left"/>
      <w:pPr>
        <w:ind w:left="1440" w:hanging="360"/>
      </w:pPr>
    </w:lvl>
    <w:lvl w:ilvl="2" w:tplc="25DEFE5A">
      <w:start w:val="1"/>
      <w:numFmt w:val="lowerRoman"/>
      <w:lvlText w:val="%3."/>
      <w:lvlJc w:val="right"/>
      <w:pPr>
        <w:ind w:left="2160" w:hanging="180"/>
      </w:pPr>
    </w:lvl>
    <w:lvl w:ilvl="3" w:tplc="469C3FA8">
      <w:start w:val="1"/>
      <w:numFmt w:val="decimal"/>
      <w:lvlText w:val="%4."/>
      <w:lvlJc w:val="left"/>
      <w:pPr>
        <w:ind w:left="2880" w:hanging="360"/>
      </w:pPr>
    </w:lvl>
    <w:lvl w:ilvl="4" w:tplc="6C86CD8C">
      <w:start w:val="1"/>
      <w:numFmt w:val="lowerLetter"/>
      <w:lvlText w:val="%5."/>
      <w:lvlJc w:val="left"/>
      <w:pPr>
        <w:ind w:left="3600" w:hanging="360"/>
      </w:pPr>
    </w:lvl>
    <w:lvl w:ilvl="5" w:tplc="FEB8799E">
      <w:start w:val="1"/>
      <w:numFmt w:val="lowerRoman"/>
      <w:lvlText w:val="%6."/>
      <w:lvlJc w:val="right"/>
      <w:pPr>
        <w:ind w:left="4320" w:hanging="180"/>
      </w:pPr>
    </w:lvl>
    <w:lvl w:ilvl="6" w:tplc="398AF488">
      <w:start w:val="1"/>
      <w:numFmt w:val="decimal"/>
      <w:lvlText w:val="%7."/>
      <w:lvlJc w:val="left"/>
      <w:pPr>
        <w:ind w:left="5040" w:hanging="360"/>
      </w:pPr>
    </w:lvl>
    <w:lvl w:ilvl="7" w:tplc="8604AA14">
      <w:start w:val="1"/>
      <w:numFmt w:val="lowerLetter"/>
      <w:lvlText w:val="%8."/>
      <w:lvlJc w:val="left"/>
      <w:pPr>
        <w:ind w:left="5760" w:hanging="360"/>
      </w:pPr>
    </w:lvl>
    <w:lvl w:ilvl="8" w:tplc="6DD4CD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6516"/>
    <w:multiLevelType w:val="hybridMultilevel"/>
    <w:tmpl w:val="93A6B366"/>
    <w:lvl w:ilvl="0" w:tplc="07B894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FCE4644">
      <w:start w:val="1"/>
      <w:numFmt w:val="lowerLetter"/>
      <w:lvlText w:val="%2."/>
      <w:lvlJc w:val="left"/>
      <w:pPr>
        <w:ind w:left="1620" w:hanging="360"/>
      </w:pPr>
    </w:lvl>
    <w:lvl w:ilvl="2" w:tplc="1E367E32">
      <w:start w:val="1"/>
      <w:numFmt w:val="lowerRoman"/>
      <w:lvlText w:val="%3."/>
      <w:lvlJc w:val="right"/>
      <w:pPr>
        <w:ind w:left="2340" w:hanging="180"/>
      </w:pPr>
    </w:lvl>
    <w:lvl w:ilvl="3" w:tplc="CF72F422">
      <w:start w:val="1"/>
      <w:numFmt w:val="decimal"/>
      <w:lvlText w:val="%4."/>
      <w:lvlJc w:val="left"/>
      <w:pPr>
        <w:ind w:left="3060" w:hanging="360"/>
      </w:pPr>
    </w:lvl>
    <w:lvl w:ilvl="4" w:tplc="7DB0550C">
      <w:start w:val="1"/>
      <w:numFmt w:val="lowerLetter"/>
      <w:lvlText w:val="%5."/>
      <w:lvlJc w:val="left"/>
      <w:pPr>
        <w:ind w:left="3780" w:hanging="360"/>
      </w:pPr>
    </w:lvl>
    <w:lvl w:ilvl="5" w:tplc="390047A0">
      <w:start w:val="1"/>
      <w:numFmt w:val="lowerRoman"/>
      <w:lvlText w:val="%6."/>
      <w:lvlJc w:val="right"/>
      <w:pPr>
        <w:ind w:left="4500" w:hanging="180"/>
      </w:pPr>
    </w:lvl>
    <w:lvl w:ilvl="6" w:tplc="59DE3146">
      <w:start w:val="1"/>
      <w:numFmt w:val="decimal"/>
      <w:lvlText w:val="%7."/>
      <w:lvlJc w:val="left"/>
      <w:pPr>
        <w:ind w:left="5220" w:hanging="360"/>
      </w:pPr>
    </w:lvl>
    <w:lvl w:ilvl="7" w:tplc="D3E48598">
      <w:start w:val="1"/>
      <w:numFmt w:val="lowerLetter"/>
      <w:lvlText w:val="%8."/>
      <w:lvlJc w:val="left"/>
      <w:pPr>
        <w:ind w:left="5940" w:hanging="360"/>
      </w:pPr>
    </w:lvl>
    <w:lvl w:ilvl="8" w:tplc="77D0FFFC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8DE6154"/>
    <w:multiLevelType w:val="hybridMultilevel"/>
    <w:tmpl w:val="400C656A"/>
    <w:lvl w:ilvl="0" w:tplc="F98AB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09B0">
      <w:start w:val="1"/>
      <w:numFmt w:val="lowerLetter"/>
      <w:lvlText w:val="%2."/>
      <w:lvlJc w:val="left"/>
      <w:pPr>
        <w:ind w:left="1440" w:hanging="360"/>
      </w:pPr>
    </w:lvl>
    <w:lvl w:ilvl="2" w:tplc="E7787EA2">
      <w:start w:val="1"/>
      <w:numFmt w:val="lowerRoman"/>
      <w:lvlText w:val="%3."/>
      <w:lvlJc w:val="right"/>
      <w:pPr>
        <w:ind w:left="2160" w:hanging="180"/>
      </w:pPr>
    </w:lvl>
    <w:lvl w:ilvl="3" w:tplc="976C8DD8">
      <w:start w:val="1"/>
      <w:numFmt w:val="decimal"/>
      <w:lvlText w:val="%4."/>
      <w:lvlJc w:val="left"/>
      <w:pPr>
        <w:ind w:left="2880" w:hanging="360"/>
      </w:pPr>
    </w:lvl>
    <w:lvl w:ilvl="4" w:tplc="1338AD48">
      <w:start w:val="1"/>
      <w:numFmt w:val="lowerLetter"/>
      <w:lvlText w:val="%5."/>
      <w:lvlJc w:val="left"/>
      <w:pPr>
        <w:ind w:left="3600" w:hanging="360"/>
      </w:pPr>
    </w:lvl>
    <w:lvl w:ilvl="5" w:tplc="562EAE92">
      <w:start w:val="1"/>
      <w:numFmt w:val="lowerRoman"/>
      <w:lvlText w:val="%6."/>
      <w:lvlJc w:val="right"/>
      <w:pPr>
        <w:ind w:left="4320" w:hanging="180"/>
      </w:pPr>
    </w:lvl>
    <w:lvl w:ilvl="6" w:tplc="9B4660DC">
      <w:start w:val="1"/>
      <w:numFmt w:val="decimal"/>
      <w:lvlText w:val="%7."/>
      <w:lvlJc w:val="left"/>
      <w:pPr>
        <w:ind w:left="5040" w:hanging="360"/>
      </w:pPr>
    </w:lvl>
    <w:lvl w:ilvl="7" w:tplc="391E84EC">
      <w:start w:val="1"/>
      <w:numFmt w:val="lowerLetter"/>
      <w:lvlText w:val="%8."/>
      <w:lvlJc w:val="left"/>
      <w:pPr>
        <w:ind w:left="5760" w:hanging="360"/>
      </w:pPr>
    </w:lvl>
    <w:lvl w:ilvl="8" w:tplc="CE2E5A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2639"/>
    <w:multiLevelType w:val="hybridMultilevel"/>
    <w:tmpl w:val="1C7C4308"/>
    <w:lvl w:ilvl="0" w:tplc="FC088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765D8C">
      <w:start w:val="1"/>
      <w:numFmt w:val="lowerLetter"/>
      <w:lvlText w:val="%2."/>
      <w:lvlJc w:val="left"/>
      <w:pPr>
        <w:ind w:left="1440" w:hanging="360"/>
      </w:pPr>
    </w:lvl>
    <w:lvl w:ilvl="2" w:tplc="47D28F84">
      <w:start w:val="1"/>
      <w:numFmt w:val="lowerRoman"/>
      <w:lvlText w:val="%3."/>
      <w:lvlJc w:val="right"/>
      <w:pPr>
        <w:ind w:left="2160" w:hanging="180"/>
      </w:pPr>
    </w:lvl>
    <w:lvl w:ilvl="3" w:tplc="451EF256">
      <w:start w:val="1"/>
      <w:numFmt w:val="decimal"/>
      <w:lvlText w:val="%4."/>
      <w:lvlJc w:val="left"/>
      <w:pPr>
        <w:ind w:left="2880" w:hanging="360"/>
      </w:pPr>
    </w:lvl>
    <w:lvl w:ilvl="4" w:tplc="958C98F4">
      <w:start w:val="1"/>
      <w:numFmt w:val="lowerLetter"/>
      <w:lvlText w:val="%5."/>
      <w:lvlJc w:val="left"/>
      <w:pPr>
        <w:ind w:left="3600" w:hanging="360"/>
      </w:pPr>
    </w:lvl>
    <w:lvl w:ilvl="5" w:tplc="7106833C">
      <w:start w:val="1"/>
      <w:numFmt w:val="lowerRoman"/>
      <w:lvlText w:val="%6."/>
      <w:lvlJc w:val="right"/>
      <w:pPr>
        <w:ind w:left="4320" w:hanging="180"/>
      </w:pPr>
    </w:lvl>
    <w:lvl w:ilvl="6" w:tplc="F94A31EC">
      <w:start w:val="1"/>
      <w:numFmt w:val="decimal"/>
      <w:lvlText w:val="%7."/>
      <w:lvlJc w:val="left"/>
      <w:pPr>
        <w:ind w:left="5040" w:hanging="360"/>
      </w:pPr>
    </w:lvl>
    <w:lvl w:ilvl="7" w:tplc="9B1AB69A">
      <w:start w:val="1"/>
      <w:numFmt w:val="lowerLetter"/>
      <w:lvlText w:val="%8."/>
      <w:lvlJc w:val="left"/>
      <w:pPr>
        <w:ind w:left="5760" w:hanging="360"/>
      </w:pPr>
    </w:lvl>
    <w:lvl w:ilvl="8" w:tplc="E8D6DE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C6014"/>
    <w:multiLevelType w:val="hybridMultilevel"/>
    <w:tmpl w:val="70DE83B2"/>
    <w:lvl w:ilvl="0" w:tplc="B0309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90931C">
      <w:start w:val="1"/>
      <w:numFmt w:val="lowerLetter"/>
      <w:lvlText w:val="%2."/>
      <w:lvlJc w:val="left"/>
      <w:pPr>
        <w:ind w:left="1440" w:hanging="360"/>
      </w:pPr>
    </w:lvl>
    <w:lvl w:ilvl="2" w:tplc="32321C3E">
      <w:start w:val="1"/>
      <w:numFmt w:val="lowerRoman"/>
      <w:lvlText w:val="%3."/>
      <w:lvlJc w:val="right"/>
      <w:pPr>
        <w:ind w:left="2160" w:hanging="180"/>
      </w:pPr>
    </w:lvl>
    <w:lvl w:ilvl="3" w:tplc="E94C9902">
      <w:start w:val="1"/>
      <w:numFmt w:val="decimal"/>
      <w:lvlText w:val="%4."/>
      <w:lvlJc w:val="left"/>
      <w:pPr>
        <w:ind w:left="2880" w:hanging="360"/>
      </w:pPr>
    </w:lvl>
    <w:lvl w:ilvl="4" w:tplc="8174D000">
      <w:start w:val="1"/>
      <w:numFmt w:val="lowerLetter"/>
      <w:lvlText w:val="%5."/>
      <w:lvlJc w:val="left"/>
      <w:pPr>
        <w:ind w:left="3600" w:hanging="360"/>
      </w:pPr>
    </w:lvl>
    <w:lvl w:ilvl="5" w:tplc="41F4B560">
      <w:start w:val="1"/>
      <w:numFmt w:val="lowerRoman"/>
      <w:lvlText w:val="%6."/>
      <w:lvlJc w:val="right"/>
      <w:pPr>
        <w:ind w:left="4320" w:hanging="180"/>
      </w:pPr>
    </w:lvl>
    <w:lvl w:ilvl="6" w:tplc="99166EC8">
      <w:start w:val="1"/>
      <w:numFmt w:val="decimal"/>
      <w:lvlText w:val="%7."/>
      <w:lvlJc w:val="left"/>
      <w:pPr>
        <w:ind w:left="5040" w:hanging="360"/>
      </w:pPr>
    </w:lvl>
    <w:lvl w:ilvl="7" w:tplc="7550F5B2">
      <w:start w:val="1"/>
      <w:numFmt w:val="lowerLetter"/>
      <w:lvlText w:val="%8."/>
      <w:lvlJc w:val="left"/>
      <w:pPr>
        <w:ind w:left="5760" w:hanging="360"/>
      </w:pPr>
    </w:lvl>
    <w:lvl w:ilvl="8" w:tplc="3C1082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D6A17"/>
    <w:multiLevelType w:val="hybridMultilevel"/>
    <w:tmpl w:val="6414C85E"/>
    <w:lvl w:ilvl="0" w:tplc="7C1E0E1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22A53A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E72E34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1ED8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7BE4B3E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9CC2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0C08A0A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E2CAB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858D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D9A3DDF"/>
    <w:multiLevelType w:val="hybridMultilevel"/>
    <w:tmpl w:val="B2AE6358"/>
    <w:lvl w:ilvl="0" w:tplc="B4EE9066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ndale Sans UI" w:cs="Tahoma"/>
        <w:sz w:val="28"/>
        <w:szCs w:val="28"/>
      </w:rPr>
    </w:lvl>
    <w:lvl w:ilvl="1" w:tplc="FE383BEE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A87AC654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10BC3E96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 w:tplc="7EE0F1E6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 w:tplc="A984A070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 w:tplc="73D89944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57048766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 w:tplc="B7B2A7B0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DBA18D1"/>
    <w:multiLevelType w:val="hybridMultilevel"/>
    <w:tmpl w:val="7368C8B4"/>
    <w:lvl w:ilvl="0" w:tplc="5F584C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 w:cs="F"/>
        <w:b/>
        <w:bCs/>
        <w:sz w:val="24"/>
        <w:szCs w:val="28"/>
      </w:rPr>
    </w:lvl>
    <w:lvl w:ilvl="1" w:tplc="C6EE1670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15467D3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77B0291E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 w:tplc="BD6A13B2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 w:tplc="CFDCC620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 w:tplc="413601B0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29E45F10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 w:tplc="85464DA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C0"/>
    <w:rsid w:val="000C63F9"/>
    <w:rsid w:val="00193FAB"/>
    <w:rsid w:val="00261102"/>
    <w:rsid w:val="002B7276"/>
    <w:rsid w:val="004B100C"/>
    <w:rsid w:val="006E1F0E"/>
    <w:rsid w:val="008478F3"/>
    <w:rsid w:val="00875AC0"/>
    <w:rsid w:val="008C1CDC"/>
    <w:rsid w:val="00983914"/>
    <w:rsid w:val="00A40667"/>
    <w:rsid w:val="00A5169F"/>
    <w:rsid w:val="00AE579A"/>
    <w:rsid w:val="00C36B90"/>
    <w:rsid w:val="00C41844"/>
    <w:rsid w:val="00CA1F7B"/>
    <w:rsid w:val="00DD2B7E"/>
    <w:rsid w:val="00E15E92"/>
    <w:rsid w:val="00EE6458"/>
    <w:rsid w:val="00F0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CF5BA"/>
  <w15:docId w15:val="{8DD6B405-A756-4833-B9A3-0C56A75D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  <w:i w:val="0"/>
      <w:sz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3">
    <w:name w:val="Основной шрифт абзаца1"/>
  </w:style>
  <w:style w:type="character" w:styleId="af4">
    <w:name w:val="page number"/>
    <w:basedOn w:val="13"/>
  </w:style>
  <w:style w:type="character" w:customStyle="1" w:styleId="14">
    <w:name w:val="Знак примечания1"/>
    <w:rPr>
      <w:sz w:val="16"/>
      <w:szCs w:val="16"/>
    </w:rPr>
  </w:style>
  <w:style w:type="character" w:styleId="af5">
    <w:name w:val="Strong"/>
    <w:qFormat/>
    <w:rPr>
      <w:b/>
      <w:bCs/>
    </w:rPr>
  </w:style>
  <w:style w:type="character" w:customStyle="1" w:styleId="52">
    <w:name w:val="Заголовок 5 Знак"/>
    <w:rPr>
      <w:sz w:val="28"/>
      <w:szCs w:val="32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af6">
    <w:name w:val="Верхний колонтитул Знак"/>
    <w:uiPriority w:val="99"/>
    <w:rPr>
      <w:sz w:val="24"/>
      <w:szCs w:val="24"/>
      <w:lang w:val="ru-RU" w:bidi="ar-SA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Заголовок №2_"/>
    <w:rPr>
      <w:b/>
      <w:spacing w:val="10"/>
      <w:shd w:val="clear" w:color="auto" w:fill="FFFFFF"/>
    </w:rPr>
  </w:style>
  <w:style w:type="character" w:customStyle="1" w:styleId="af7">
    <w:name w:val="Основной текст Знак"/>
    <w:rPr>
      <w:sz w:val="28"/>
      <w:szCs w:val="24"/>
    </w:rPr>
  </w:style>
  <w:style w:type="paragraph" w:customStyle="1" w:styleId="15">
    <w:name w:val="Заголовок1"/>
    <w:basedOn w:val="a"/>
    <w:next w:val="af8"/>
    <w:pPr>
      <w:ind w:right="27"/>
      <w:jc w:val="center"/>
    </w:pPr>
    <w:rPr>
      <w:b/>
      <w:sz w:val="28"/>
    </w:rPr>
  </w:style>
  <w:style w:type="paragraph" w:styleId="af8">
    <w:name w:val="Body Text"/>
    <w:basedOn w:val="a"/>
    <w:pPr>
      <w:jc w:val="right"/>
    </w:pPr>
    <w:rPr>
      <w:sz w:val="28"/>
    </w:r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Arial"/>
    </w:rPr>
  </w:style>
  <w:style w:type="paragraph" w:styleId="ab">
    <w:name w:val="footer"/>
    <w:basedOn w:val="a"/>
    <w:link w:val="aa"/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b">
    <w:name w:val="annotation subject"/>
    <w:basedOn w:val="17"/>
    <w:next w:val="17"/>
    <w:rPr>
      <w:b/>
      <w:bCs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11"/>
    <w:uiPriority w:val="99"/>
  </w:style>
  <w:style w:type="paragraph" w:styleId="a6">
    <w:name w:val="Subtitle"/>
    <w:basedOn w:val="a"/>
    <w:next w:val="af8"/>
    <w:link w:val="a5"/>
    <w:qFormat/>
    <w:pPr>
      <w:ind w:right="27"/>
      <w:jc w:val="center"/>
    </w:pPr>
    <w:rPr>
      <w:b/>
      <w:sz w:val="28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25">
    <w:name w:val="заголовок 2"/>
    <w:basedOn w:val="a"/>
    <w:next w:val="a"/>
    <w:pPr>
      <w:keepNext/>
      <w:jc w:val="center"/>
    </w:pPr>
    <w:rPr>
      <w:sz w:val="28"/>
      <w:szCs w:val="28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pPr>
      <w:spacing w:before="100" w:after="100"/>
    </w:pPr>
    <w:rPr>
      <w:sz w:val="24"/>
      <w:lang w:eastAsia="zh-CN"/>
    </w:rPr>
  </w:style>
  <w:style w:type="paragraph" w:customStyle="1" w:styleId="19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styleId="aff">
    <w:name w:val="No Spacing"/>
    <w:link w:val="aff0"/>
    <w:uiPriority w:val="1"/>
    <w:qFormat/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pPr>
      <w:spacing w:before="280" w:after="280"/>
    </w:pPr>
  </w:style>
  <w:style w:type="paragraph" w:styleId="aff1">
    <w:name w:val="Normal (Web)"/>
    <w:basedOn w:val="a"/>
    <w:pPr>
      <w:spacing w:before="280" w:after="280"/>
    </w:p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</w:rPr>
  </w:style>
  <w:style w:type="paragraph" w:customStyle="1" w:styleId="26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Pr>
      <w:lang w:eastAsia="zh-CN"/>
    </w:rPr>
  </w:style>
  <w:style w:type="table" w:styleId="af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Revision"/>
    <w:hidden/>
    <w:uiPriority w:val="99"/>
    <w:semiHidden/>
    <w:rPr>
      <w:sz w:val="24"/>
      <w:szCs w:val="24"/>
      <w:lang w:eastAsia="zh-CN"/>
    </w:rPr>
  </w:style>
  <w:style w:type="character" w:customStyle="1" w:styleId="1Arial16pt-1pt">
    <w:name w:val="Заголовок №1 + Arial;16 pt;Интервал -1 pt"/>
    <w:basedOn w:val="a0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position w:val="0"/>
      <w:sz w:val="32"/>
      <w:szCs w:val="32"/>
      <w:u w:val="single"/>
      <w:lang w:val="en-US" w:eastAsia="en-US" w:bidi="en-US"/>
    </w:rPr>
  </w:style>
  <w:style w:type="character" w:customStyle="1" w:styleId="53">
    <w:name w:val="Основной текст (5)_"/>
    <w:basedOn w:val="a0"/>
    <w:link w:val="54"/>
    <w:rPr>
      <w:b/>
      <w:bCs/>
      <w:sz w:val="18"/>
      <w:szCs w:val="18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420" w:line="0" w:lineRule="atLeast"/>
    </w:pPr>
    <w:rPr>
      <w:b/>
      <w:bCs/>
      <w:sz w:val="18"/>
      <w:szCs w:val="18"/>
      <w:lang w:eastAsia="ru-RU"/>
    </w:rPr>
  </w:style>
  <w:style w:type="character" w:customStyle="1" w:styleId="aff0">
    <w:name w:val="Без интервала Знак"/>
    <w:basedOn w:val="a0"/>
    <w:link w:val="aff"/>
    <w:uiPriority w:val="1"/>
    <w:rPr>
      <w:rFonts w:ascii="Calibri" w:hAnsi="Calibri" w:cs="Calibri"/>
      <w:sz w:val="22"/>
      <w:szCs w:val="22"/>
      <w:lang w:eastAsia="zh-CN"/>
    </w:rPr>
  </w:style>
  <w:style w:type="character" w:styleId="af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895A-B338-434C-8B42-67482FD1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Боровкова Светлана Николаевна</cp:lastModifiedBy>
  <cp:revision>2</cp:revision>
  <cp:lastPrinted>2024-06-13T03:08:00Z</cp:lastPrinted>
  <dcterms:created xsi:type="dcterms:W3CDTF">2024-06-21T08:10:00Z</dcterms:created>
  <dcterms:modified xsi:type="dcterms:W3CDTF">2024-06-21T08:10:00Z</dcterms:modified>
</cp:coreProperties>
</file>