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right"/>
        <w:rPr>
          <w:sz w:val="28"/>
          <w:szCs w:val="28"/>
        </w:rPr>
      </w:pPr>
      <w:r>
        <w:rPr>
          <w:sz w:val="28"/>
          <w:szCs w:val="28"/>
        </w:rPr>
        <w:t xml:space="preserve">Приложение 1</w:t>
      </w:r>
      <w:r>
        <w:rPr>
          <w:sz w:val="28"/>
          <w:szCs w:val="28"/>
        </w:rPr>
      </w:r>
    </w:p>
    <w:p>
      <w:pPr>
        <w:pStyle w:val="Normal"/>
        <w:jc w:val="right"/>
        <w:rPr>
          <w:sz w:val="28"/>
          <w:szCs w:val="28"/>
        </w:rPr>
      </w:pPr>
      <w:r>
        <w:rPr>
          <w:sz w:val="28"/>
          <w:szCs w:val="28"/>
        </w:rPr>
        <w:t xml:space="preserve">к Порядку </w:t>
      </w:r>
      <w:r>
        <w:rPr>
          <w:sz w:val="28"/>
          <w:szCs w:val="28"/>
        </w:rPr>
        <w:t xml:space="preserve">определения размера арендной платы </w:t>
      </w:r>
      <w:r>
        <w:rPr>
          <w:sz w:val="28"/>
          <w:szCs w:val="28"/>
        </w:rPr>
      </w:r>
    </w:p>
    <w:p>
      <w:pPr>
        <w:pStyle w:val="Normal"/>
        <w:jc w:val="right"/>
        <w:rPr>
          <w:sz w:val="28"/>
          <w:szCs w:val="28"/>
        </w:rPr>
      </w:pPr>
      <w:r>
        <w:rPr>
          <w:sz w:val="28"/>
          <w:szCs w:val="28"/>
        </w:rPr>
        <w:t xml:space="preserve">за земельные участки, государственная собственность</w:t>
      </w:r>
      <w:r>
        <w:rPr>
          <w:sz w:val="28"/>
          <w:szCs w:val="28"/>
        </w:rPr>
      </w:r>
    </w:p>
    <w:p>
      <w:pPr>
        <w:pStyle w:val="Normal"/>
        <w:jc w:val="right"/>
        <w:rPr>
          <w:sz w:val="28"/>
          <w:szCs w:val="28"/>
        </w:rPr>
      </w:pPr>
      <w:r>
        <w:rPr>
          <w:sz w:val="28"/>
          <w:szCs w:val="28"/>
        </w:rPr>
        <w:t xml:space="preserve"> на которые не разграничена и предоставленные </w:t>
      </w:r>
      <w:r>
        <w:rPr>
          <w:sz w:val="28"/>
          <w:szCs w:val="28"/>
        </w:rPr>
      </w:r>
    </w:p>
    <w:p>
      <w:pPr>
        <w:pStyle w:val="Normal"/>
        <w:jc w:val="right"/>
        <w:rPr>
          <w:sz w:val="28"/>
          <w:szCs w:val="28"/>
        </w:rPr>
      </w:pPr>
      <w:r>
        <w:rPr>
          <w:sz w:val="28"/>
          <w:szCs w:val="28"/>
        </w:rPr>
        <w:t xml:space="preserve">в аренду без торгов, расположенные </w:t>
      </w:r>
      <w:r>
        <w:rPr>
          <w:sz w:val="28"/>
          <w:szCs w:val="28"/>
        </w:rPr>
      </w:r>
    </w:p>
    <w:p>
      <w:pPr>
        <w:pStyle w:val="Normal"/>
        <w:jc w:val="right"/>
        <w:rPr>
          <w:sz w:val="28"/>
          <w:szCs w:val="28"/>
        </w:rPr>
      </w:pPr>
      <w:r>
        <w:rPr>
          <w:sz w:val="28"/>
          <w:szCs w:val="28"/>
        </w:rPr>
        <w:t xml:space="preserve">на территории Новосибирской области</w:t>
      </w: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center"/>
        <w:rPr>
          <w:sz w:val="28"/>
          <w:szCs w:val="28"/>
        </w:rPr>
      </w:pPr>
      <w:r>
        <w:rPr>
          <w:sz w:val="28"/>
          <w:szCs w:val="28"/>
        </w:rPr>
        <w:t xml:space="preserve">ЗНАЧЕНИЕ КОЭФФИЦИЕНТА,</w:t>
      </w:r>
    </w:p>
    <w:p>
      <w:pPr>
        <w:pStyle w:val="Normal"/>
        <w:jc w:val="center"/>
        <w:rPr>
          <w:sz w:val="28"/>
          <w:szCs w:val="28"/>
        </w:rPr>
      </w:pPr>
      <w:r>
        <w:rPr>
          <w:sz w:val="28"/>
          <w:szCs w:val="28"/>
        </w:rPr>
        <w:t xml:space="preserve">применяемого для расчета размера арендной платы</w:t>
      </w:r>
    </w:p>
    <w:p>
      <w:pPr>
        <w:pStyle w:val="Normal"/>
        <w:jc w:val="center"/>
        <w:rPr>
          <w:sz w:val="28"/>
          <w:szCs w:val="28"/>
        </w:rPr>
      </w:pPr>
      <w:r>
        <w:rPr>
          <w:sz w:val="28"/>
          <w:szCs w:val="28"/>
        </w:rPr>
      </w:r>
    </w:p>
    <w:tbl>
      <w:tblPr>
        <w:tblW w:w="1512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80"/>
        <w:gridCol w:w="2652"/>
        <w:gridCol w:w="7713"/>
        <w:gridCol w:w="1738"/>
        <w:gridCol w:w="1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w:t>
            </w:r>
            <w:r>
              <w:t xml:space="preserve"> </w:t>
            </w:r>
            <w:r>
              <w:t xml:space="preserve">Сегмента</w:t>
            </w:r>
          </w:p>
        </w:tc>
        <w:tc>
          <w:tcPr>
            <w:tcW w:w="2693" w:type="dxa"/>
            <w:textDirection w:val="lrTb"/>
            <w:vAlign w:val="top"/>
          </w:tcPr>
          <w:p>
            <w:pPr>
              <w:pStyle w:val="Normal"/>
              <w:jc w:val="center"/>
            </w:pPr>
            <w:r>
              <w:t xml:space="preserve">Сегмент рынка недвижимости</w:t>
            </w:r>
          </w:p>
        </w:tc>
        <w:tc>
          <w:tcPr>
            <w:tcW w:w="9531" w:type="dxa"/>
            <w:textDirection w:val="lrTb"/>
            <w:vAlign w:val="top"/>
          </w:tcPr>
          <w:p>
            <w:pPr>
              <w:pStyle w:val="Normal"/>
              <w:jc w:val="center"/>
            </w:pPr>
            <w:r>
              <w:t xml:space="preserve">Наименование вида разрешенного использования земельного участка</w:t>
            </w:r>
          </w:p>
        </w:tc>
        <w:tc>
          <w:tcPr>
            <w:tcW w:w="236" w:type="dxa"/>
            <w:textDirection w:val="lrTb"/>
            <w:vAlign w:val="top"/>
          </w:tcPr>
          <w:p>
            <w:pPr>
              <w:pStyle w:val="Normal"/>
              <w:jc w:val="center"/>
            </w:pPr>
            <w:r>
              <w:t xml:space="preserve">Значение коэффициента в городе Новосибирске, %</w:t>
            </w:r>
          </w:p>
        </w:tc>
        <w:tc>
          <w:tcPr>
            <w:tcW w:w="1843" w:type="dxa"/>
            <w:textDirection w:val="lrTb"/>
            <w:vAlign w:val="top"/>
          </w:tcPr>
          <w:p>
            <w:pPr>
              <w:pStyle w:val="Normal"/>
              <w:jc w:val="center"/>
            </w:pPr>
            <w:r>
              <w:t xml:space="preserve">Значение коэффициента в Новосибирской области,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1.</w:t>
            </w:r>
          </w:p>
        </w:tc>
        <w:tc>
          <w:tcPr>
            <w:tcW w:w="2693" w:type="dxa"/>
            <w:textDirection w:val="lrTb"/>
            <w:vAlign w:val="top"/>
          </w:tcPr>
          <w:p>
            <w:pPr>
              <w:pStyle w:val="Normal"/>
              <w:jc w:val="center"/>
            </w:pPr>
            <w:r>
              <w:t xml:space="preserve">Сельскохозяйственное использование</w:t>
            </w:r>
          </w:p>
        </w:tc>
        <w:tc>
          <w:tcPr>
            <w:tcW w:w="9531" w:type="dxa"/>
            <w:textDirection w:val="lrTb"/>
            <w:vAlign w:val="top"/>
          </w:tcPr>
          <w:p>
            <w:pPr>
              <w:pStyle w:val="Normal"/>
              <w:jc w:val="center"/>
            </w:pPr>
            <w:r>
              <w:t xml:space="preserve">Сельскохозяйственное использование (1.0), Растениеводство (1.1), Выращивание зерновых и иных сельскохозяйственных культур (1.2), Овощеводство (1.3), Выращивание тонизирующих, лекарственных, цветочных культур (1.4), Садоводство (1.5), Виноградарство (1.5.1), Выращивание льна и конопли (1.6), Животноводство (1.7), Скотоводство (1.8), Звероводство (1.9), Птицеводство (1.10), Свиноводство (1.11), Пчеловодство (1.12), Рыбоводство (1.13), Ведение личного подсобного хозяйства на полевых участках (1.16), Питомники (1.17), Сенокошение (1.19), Выпас сельскохозяйственных животных (1.20)</w:t>
            </w:r>
          </w:p>
        </w:tc>
        <w:tc>
          <w:tcPr>
            <w:tcW w:w="236" w:type="dxa"/>
            <w:textDirection w:val="lrTb"/>
            <w:vAlign w:val="top"/>
          </w:tcPr>
          <w:p>
            <w:pPr>
              <w:pStyle w:val="Normal"/>
              <w:jc w:val="center"/>
            </w:pPr>
            <w:r>
              <w:t xml:space="preserve">3,9</w:t>
            </w:r>
          </w:p>
        </w:tc>
        <w:tc>
          <w:tcPr>
            <w:tcW w:w="1843" w:type="dxa"/>
            <w:textDirection w:val="lrTb"/>
            <w:vAlign w:val="top"/>
          </w:tcPr>
          <w:p>
            <w:pPr>
              <w:pStyle w:val="Normal"/>
              <w:jc w:val="center"/>
            </w:pPr>
            <w:r>
              <w:t xml:space="preserve">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2.</w:t>
            </w:r>
            <w:r>
              <w:t xml:space="preserve">1</w:t>
            </w:r>
            <w:r>
              <w:t xml:space="preserve">.</w:t>
            </w:r>
            <w:r>
              <w:t xml:space="preserve"> </w:t>
            </w:r>
          </w:p>
        </w:tc>
        <w:tc>
          <w:tcPr>
            <w:tcW w:w="2693" w:type="dxa"/>
            <w:textDirection w:val="lrTb"/>
            <w:vAlign w:val="top"/>
          </w:tcPr>
          <w:p>
            <w:pPr>
              <w:pStyle w:val="Normal"/>
              <w:jc w:val="center"/>
            </w:pPr>
            <w:r>
              <w:t xml:space="preserve">Жилая застройка (среднеэтажная и многоэтажная)</w:t>
            </w:r>
          </w:p>
        </w:tc>
        <w:tc>
          <w:tcPr>
            <w:tcW w:w="9531" w:type="dxa"/>
            <w:textDirection w:val="lrTb"/>
            <w:vAlign w:val="top"/>
          </w:tcPr>
          <w:p>
            <w:pPr>
              <w:pStyle w:val="Normal"/>
              <w:jc w:val="center"/>
            </w:pPr>
            <w:r>
              <w:t xml:space="preserve">Среднеэтажная жилая застройка (2.5), Многоэтажная жилая застройка (высотная застройка) (2.6)</w:t>
            </w:r>
          </w:p>
        </w:tc>
        <w:tc>
          <w:tcPr>
            <w:tcW w:w="236" w:type="dxa"/>
            <w:textDirection w:val="lrTb"/>
            <w:vAlign w:val="top"/>
          </w:tcPr>
          <w:p>
            <w:pPr>
              <w:pStyle w:val="Normal"/>
              <w:jc w:val="center"/>
            </w:pPr>
            <w:r>
              <w:t xml:space="preserve">5,3</w:t>
            </w:r>
          </w:p>
        </w:tc>
        <w:tc>
          <w:tcPr>
            <w:tcW w:w="1843" w:type="dxa"/>
            <w:textDirection w:val="lrTb"/>
            <w:vAlign w:val="top"/>
          </w:tcPr>
          <w:p>
            <w:pPr>
              <w:pStyle w:val="Normal"/>
              <w:jc w:val="center"/>
            </w:pPr>
            <w:r>
              <w:t xml:space="preserve">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2.2</w:t>
            </w:r>
            <w:r>
              <w:t xml:space="preserve">.</w:t>
            </w:r>
          </w:p>
        </w:tc>
        <w:tc>
          <w:tcPr>
            <w:tcW w:w="2693" w:type="dxa"/>
            <w:textDirection w:val="lrTb"/>
            <w:vAlign w:val="top"/>
          </w:tcPr>
          <w:p>
            <w:pPr>
              <w:pStyle w:val="Normal"/>
              <w:jc w:val="center"/>
            </w:pPr>
            <w:r>
              <w:t xml:space="preserve">М</w:t>
            </w:r>
            <w:r>
              <w:t xml:space="preserve">алоэтажная жилая застройка</w:t>
            </w:r>
          </w:p>
        </w:tc>
        <w:tc>
          <w:tcPr>
            <w:tcW w:w="9531" w:type="dxa"/>
            <w:textDirection w:val="lrTb"/>
            <w:vAlign w:val="top"/>
          </w:tcPr>
          <w:p>
            <w:pPr>
              <w:pStyle w:val="Normal"/>
              <w:jc w:val="center"/>
            </w:pPr>
            <w:r>
              <w:t xml:space="preserve">Для индивидуального жилищного строительства (2.1), Малоэтажная многоквартирная жилая застройка (2.1.1), Для ведения личного подсобного хозяйства (приусадебный земельный участок) (2.2), Блокированная жилая застройка (2.3), Земельные участки, входящие в состав общего имущества собственников индивидуальных жилых домов в малоэтажном жилом комплексе (14.0)</w:t>
            </w:r>
          </w:p>
        </w:tc>
        <w:tc>
          <w:tcPr>
            <w:tcW w:w="236" w:type="dxa"/>
            <w:textDirection w:val="lrTb"/>
            <w:vAlign w:val="top"/>
          </w:tcPr>
          <w:p>
            <w:pPr>
              <w:pStyle w:val="Normal"/>
              <w:jc w:val="center"/>
            </w:pPr>
            <w:r>
              <w:t xml:space="preserve">1,7</w:t>
            </w:r>
          </w:p>
        </w:tc>
        <w:tc>
          <w:tcPr>
            <w:tcW w:w="1843" w:type="dxa"/>
            <w:textDirection w:val="lrTb"/>
            <w:vAlign w:val="top"/>
          </w:tcPr>
          <w:p>
            <w:pPr>
              <w:pStyle w:val="Normal"/>
              <w:jc w:val="center"/>
            </w:pPr>
            <w:r>
              <w:t xml:space="preserve">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2.7</w:t>
            </w:r>
            <w:r>
              <w:t xml:space="preserve">.</w:t>
            </w:r>
          </w:p>
        </w:tc>
        <w:tc>
          <w:tcPr>
            <w:tcW w:w="2693" w:type="dxa"/>
            <w:textDirection w:val="lrTb"/>
            <w:vAlign w:val="top"/>
          </w:tcPr>
          <w:p>
            <w:pPr>
              <w:pStyle w:val="Normal"/>
              <w:jc w:val="center"/>
            </w:pPr>
            <w:r>
              <w:t xml:space="preserve">Хранение автотранспорта</w:t>
            </w:r>
          </w:p>
        </w:tc>
        <w:tc>
          <w:tcPr>
            <w:tcW w:w="9531" w:type="dxa"/>
            <w:textDirection w:val="lrTb"/>
            <w:vAlign w:val="top"/>
          </w:tcPr>
          <w:p>
            <w:pPr>
              <w:pStyle w:val="Normal"/>
              <w:jc w:val="center"/>
            </w:pPr>
            <w:r>
              <w:t xml:space="preserve">Хранение автотранспорта (2.7.1), Размещение гаражей для собственных нужд (2.7.2)</w:t>
            </w:r>
          </w:p>
        </w:tc>
        <w:tc>
          <w:tcPr>
            <w:tcW w:w="236" w:type="dxa"/>
            <w:textDirection w:val="lrTb"/>
            <w:vAlign w:val="top"/>
          </w:tcPr>
          <w:p>
            <w:pPr>
              <w:pStyle w:val="Normal"/>
              <w:jc w:val="center"/>
            </w:pPr>
            <w:r>
              <w:t xml:space="preserve">1,9</w:t>
            </w:r>
          </w:p>
        </w:tc>
        <w:tc>
          <w:tcPr>
            <w:tcW w:w="1843" w:type="dxa"/>
            <w:textDirection w:val="lrTb"/>
            <w:vAlign w:val="top"/>
          </w:tcPr>
          <w:p>
            <w:pPr>
              <w:pStyle w:val="Normal"/>
              <w:jc w:val="center"/>
            </w:pPr>
            <w:r>
              <w:t xml:space="preserve">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3</w:t>
            </w:r>
            <w:r>
              <w:t xml:space="preserve">.</w:t>
            </w:r>
          </w:p>
        </w:tc>
        <w:tc>
          <w:tcPr>
            <w:tcW w:w="2693" w:type="dxa"/>
            <w:textDirection w:val="lrTb"/>
            <w:vAlign w:val="top"/>
          </w:tcPr>
          <w:p>
            <w:pPr>
              <w:pStyle w:val="Normal"/>
              <w:jc w:val="center"/>
            </w:pPr>
            <w:r>
              <w:t xml:space="preserve">Общественное использование</w:t>
            </w:r>
          </w:p>
        </w:tc>
        <w:tc>
          <w:tcPr>
            <w:tcW w:w="9531" w:type="dxa"/>
            <w:textDirection w:val="lrTb"/>
            <w:vAlign w:val="top"/>
          </w:tcPr>
          <w:p>
            <w:pPr>
              <w:pStyle w:val="Normal"/>
              <w:jc w:val="center"/>
            </w:pPr>
            <w:r>
              <w:t xml:space="preserve">Научное обеспечение сельского хозяйства (1.14), Обслуживание жилой застройки (2.7), Общественное использование объектов капитального строительства (3.0), Коммунальное обслуживание (3.0), Предоставление коммунальных услуг (3.1.1), Социальное обслуживание (3.2), Дома социального обслуживания (3.2.1), Оказание социальной помощи населению (3.2.2), Общежития (3.2.4), Бытовое обслуживание (3.3), Здравоохранение (3.4), Амбулаторно-поликлиническое обслуживание (3.4.1), Стационарное медицинское обслуживание (3.4.2), Медицинские организации особого назначения (3.4.3), Образование и просвещение (3.5), Дошкольное, начальное и среднее общее образование (3.5.1), Среднее и высшее профессиональное образование (3.5.2), Культурное развитие (3.6), Объекты культурно-досуговой деятельности (3.6.1), Цирки и зверинцы (3.6.3), Религиозное использование (3.7), Осуществление религиозных обрядов (3.7.1), Религиозное управление и образование (3.7.2), Общественное управление (3.8), Государственное управление (3.8.1), Представительская деятельность (3.8.2), Обеспечение научной деятельности (3.9), Обеспечение деятельности в области гидрометеорологии и смежных с ней областях (3.9.1), Проведение научных исследований (3.9.2), Проведение научных испытаний (3.9.3), Ветеринарное обслуживание (3.10), Амбулаторное ветеринарное обслуживание (3.10.1), Приюты для животных (3.10.2), Служебные гаражи (4.9), Стоянка транспортных средств (4.9.2), Спорт (5.1), Обеспечение спортивно-зрелищных мероприятий (5.1.1), Обеспечение занятий спортом в помещениях (5.1.2), Площадки для занятий спортом (5.1.3), Оборудованные площадки для занятий спортом (5.1.4), Водный спорт (5.1.5), Авиационный спорт (5.1.6), Спортивные базы (5.1.7), Природно-познавательный туризм (5.2), Поля для гольфа или конных прогулок (5.5), Обслуживание железнодорожных перевозок (7.1.2), Обслуживание перевозок пассажиров (7.2.2), Внеуличный транспорт (7.6), Обеспечение внутреннего правопорядка (8.3), Обеспечение деятельности по исполнению наказаний (8.4), </w:t>
            </w:r>
            <w:r>
              <w:t xml:space="preserve">Историко-культурная деятельность (9.3), Благоустройство территории (12.0.2)</w:t>
            </w:r>
          </w:p>
        </w:tc>
        <w:tc>
          <w:tcPr>
            <w:tcW w:w="236" w:type="dxa"/>
            <w:textDirection w:val="lrTb"/>
            <w:vAlign w:val="top"/>
          </w:tcPr>
          <w:p>
            <w:pPr>
              <w:pStyle w:val="Normal"/>
              <w:jc w:val="center"/>
            </w:pPr>
            <w:r>
              <w:t xml:space="preserve">2,4</w:t>
            </w:r>
          </w:p>
        </w:tc>
        <w:tc>
          <w:tcPr>
            <w:tcW w:w="1843" w:type="dxa"/>
            <w:textDirection w:val="lrTb"/>
            <w:vAlign w:val="top"/>
          </w:tcPr>
          <w:p>
            <w:pPr>
              <w:pStyle w:val="Normal"/>
              <w:jc w:val="center"/>
            </w:pPr>
            <w:r>
              <w:t xml:space="preserve">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4.</w:t>
            </w:r>
          </w:p>
        </w:tc>
        <w:tc>
          <w:tcPr>
            <w:tcW w:w="2693" w:type="dxa"/>
            <w:textDirection w:val="lrTb"/>
            <w:vAlign w:val="top"/>
          </w:tcPr>
          <w:p>
            <w:pPr>
              <w:pStyle w:val="Normal"/>
              <w:jc w:val="center"/>
            </w:pPr>
            <w:r>
              <w:t xml:space="preserve">Предпринимательство</w:t>
            </w:r>
          </w:p>
        </w:tc>
        <w:tc>
          <w:tcPr>
            <w:tcW w:w="9531" w:type="dxa"/>
            <w:textDirection w:val="lrTb"/>
            <w:vAlign w:val="top"/>
          </w:tcPr>
          <w:p>
            <w:pPr>
              <w:pStyle w:val="Normal"/>
              <w:jc w:val="center"/>
            </w:pPr>
            <w:r>
              <w:t xml:space="preserve">Административные здания организаций, обеспечивающих предоставление коммунальных услуг (3.1.2), Оказание услуг связи (3.2.3), Предпринимательство (4.0), Деловое управление (4.1), Объекты торговли (торговые центры, торгово-развлекательные центры (комплексы) (4.2), Рынки (4.3), Магазины (4.4), Банковская и страховая деятельность (4.5), Общественное питание (4.6), Развлечение (4.8), Развлекательные мероприятия (4.8.1), Проведение азартных игр (4.8.2), Проведение азартных игр в игорных зонах (4.8.3), Объекты дорожного сервиса (4.9.1), Заправка транспортных средств (4.9.1.1), Обеспечение дорожного отдыха (4.9.1.2), Автомобильные мойки (4.9.1.3), Ремонт автомобилей (4.9.1.4), Выставочно-ярмарочная деятельность (4.10)</w:t>
            </w:r>
          </w:p>
        </w:tc>
        <w:tc>
          <w:tcPr>
            <w:tcW w:w="236" w:type="dxa"/>
            <w:textDirection w:val="lrTb"/>
            <w:vAlign w:val="top"/>
          </w:tcPr>
          <w:p>
            <w:pPr>
              <w:pStyle w:val="Normal"/>
              <w:jc w:val="center"/>
            </w:pPr>
            <w:r>
              <w:t xml:space="preserve">7,9</w:t>
            </w:r>
          </w:p>
        </w:tc>
        <w:tc>
          <w:tcPr>
            <w:tcW w:w="1843" w:type="dxa"/>
            <w:textDirection w:val="lrTb"/>
            <w:vAlign w:val="top"/>
          </w:tcPr>
          <w:p>
            <w:pPr>
              <w:pStyle w:val="Normal"/>
              <w:jc w:val="center"/>
            </w:pPr>
            <w:r>
              <w:t xml:space="preserve">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5.</w:t>
            </w:r>
          </w:p>
        </w:tc>
        <w:tc>
          <w:tcPr>
            <w:tcW w:w="2693" w:type="dxa"/>
            <w:textDirection w:val="lrTb"/>
            <w:vAlign w:val="top"/>
          </w:tcPr>
          <w:p>
            <w:pPr>
              <w:pStyle w:val="Normal"/>
              <w:jc w:val="center"/>
            </w:pPr>
            <w:r>
              <w:t xml:space="preserve">Отдых (рекреация)</w:t>
            </w:r>
          </w:p>
        </w:tc>
        <w:tc>
          <w:tcPr>
            <w:tcW w:w="9531" w:type="dxa"/>
            <w:textDirection w:val="lrTb"/>
            <w:vAlign w:val="top"/>
          </w:tcPr>
          <w:p>
            <w:pPr>
              <w:pStyle w:val="Normal"/>
              <w:jc w:val="center"/>
            </w:pPr>
            <w:r>
              <w:t xml:space="preserve">Парки культуры и отдыха (3.6.2), Отдых (рекреация) (5.0), Передвижное жилье (2.4), Гостиничное обслуживание (4.7), Туристическое обслуживание (5.2.1), Охота и рыбалка (5.3), Санаторная деятельность (9.2.1)</w:t>
            </w:r>
          </w:p>
        </w:tc>
        <w:tc>
          <w:tcPr>
            <w:tcW w:w="236" w:type="dxa"/>
            <w:textDirection w:val="lrTb"/>
            <w:vAlign w:val="top"/>
          </w:tcPr>
          <w:p>
            <w:pPr>
              <w:pStyle w:val="Normal"/>
              <w:jc w:val="center"/>
            </w:pPr>
            <w:r>
              <w:t xml:space="preserve">4,1</w:t>
            </w:r>
          </w:p>
        </w:tc>
        <w:tc>
          <w:tcPr>
            <w:tcW w:w="1843" w:type="dxa"/>
            <w:textDirection w:val="lrTb"/>
            <w:vAlign w:val="top"/>
          </w:tcPr>
          <w:p>
            <w:pPr>
              <w:pStyle w:val="Normal"/>
              <w:jc w:val="center"/>
            </w:pPr>
            <w:r>
              <w:t xml:space="preserve">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6.</w:t>
            </w:r>
          </w:p>
        </w:tc>
        <w:tc>
          <w:tcPr>
            <w:tcW w:w="2693" w:type="dxa"/>
            <w:textDirection w:val="lrTb"/>
            <w:vAlign w:val="top"/>
          </w:tcPr>
          <w:p>
            <w:pPr>
              <w:pStyle w:val="Normal"/>
              <w:jc w:val="center"/>
            </w:pPr>
            <w:r>
              <w:t xml:space="preserve">Производственная деятельность</w:t>
            </w:r>
          </w:p>
        </w:tc>
        <w:tc>
          <w:tcPr>
            <w:tcW w:w="9531" w:type="dxa"/>
            <w:textDirection w:val="lrTb"/>
            <w:vAlign w:val="top"/>
          </w:tcPr>
          <w:p>
            <w:pPr>
              <w:pStyle w:val="Normal"/>
              <w:jc w:val="center"/>
            </w:pPr>
            <w:r>
              <w:t xml:space="preserve">Производственная деятельность (6.0), Хранение и переработка сельскохозяйственной продукции (1.15), Обеспечение сельскохозяйственного производства (1.18), Причалы для маломерных судов (5.4), Недропользование (6.1), Тяжелая промышленность (6.2), Автомобилестроительная промышленность (6.2.1), Легкая промышленность (6.3), Фармацевтическая промышленность (6.3.1), Фарфоро-фаянсовая промышленность (6.3.2), Электронная промышленность (6.3.3), Ювелирная промышленность (6.3.4), Пищевая промышленность (6.4), Нефтехимическая промышленность (6.5), Строительная промышленность (6.6), Энергетика (6.7), Атомная энергетика (6.7.1), Связь (6.8), Обеспечение космической деятельности (6.10), Целлюлозно-бумажная промышленность (6.11), Научно-производственная деятельность (6.12), Железнодорожный транспорт (7.1), Водный транспорт (7.3), Воздушный транспорт (7.4), Трубопроводный транспорт (7.5), Гидротехнические сооружения (11.3)</w:t>
            </w:r>
          </w:p>
        </w:tc>
        <w:tc>
          <w:tcPr>
            <w:tcW w:w="236" w:type="dxa"/>
            <w:textDirection w:val="lrTb"/>
            <w:vAlign w:val="top"/>
          </w:tcPr>
          <w:p>
            <w:pPr>
              <w:pStyle w:val="Normal"/>
              <w:jc w:val="center"/>
            </w:pPr>
            <w:r>
              <w:t xml:space="preserve">3,8</w:t>
            </w:r>
          </w:p>
        </w:tc>
        <w:tc>
          <w:tcPr>
            <w:tcW w:w="1843" w:type="dxa"/>
            <w:textDirection w:val="lrTb"/>
            <w:vAlign w:val="top"/>
          </w:tcPr>
          <w:p>
            <w:pPr>
              <w:pStyle w:val="Normal"/>
              <w:jc w:val="center"/>
            </w:pPr>
            <w:r>
              <w:t xml:space="preserve">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6.1</w:t>
            </w:r>
            <w:r>
              <w:t xml:space="preserve">.</w:t>
            </w:r>
          </w:p>
        </w:tc>
        <w:tc>
          <w:tcPr>
            <w:tcW w:w="2693" w:type="dxa"/>
            <w:textDirection w:val="lrTb"/>
            <w:vAlign w:val="top"/>
          </w:tcPr>
          <w:p>
            <w:pPr>
              <w:pStyle w:val="Normal"/>
              <w:jc w:val="center"/>
            </w:pPr>
            <w:r>
              <w:t xml:space="preserve">Склады, в т.ч. промышленно-логистические парки</w:t>
            </w:r>
          </w:p>
        </w:tc>
        <w:tc>
          <w:tcPr>
            <w:tcW w:w="9531" w:type="dxa"/>
            <w:textDirection w:val="lrTb"/>
            <w:vAlign w:val="top"/>
          </w:tcPr>
          <w:p>
            <w:pPr>
              <w:pStyle w:val="Normal"/>
              <w:jc w:val="center"/>
            </w:pPr>
            <w:r>
              <w:t xml:space="preserve">Склад (6.9), Складские площадки (6.9.1),</w:t>
            </w:r>
          </w:p>
        </w:tc>
        <w:tc>
          <w:tcPr>
            <w:tcW w:w="236" w:type="dxa"/>
            <w:textDirection w:val="lrTb"/>
            <w:vAlign w:val="top"/>
          </w:tcPr>
          <w:p>
            <w:pPr>
              <w:pStyle w:val="Normal"/>
              <w:jc w:val="center"/>
            </w:pPr>
            <w:r>
              <w:t xml:space="preserve">6,1</w:t>
            </w:r>
          </w:p>
        </w:tc>
        <w:tc>
          <w:tcPr>
            <w:tcW w:w="1843" w:type="dxa"/>
            <w:textDirection w:val="lrTb"/>
            <w:vAlign w:val="top"/>
          </w:tcPr>
          <w:p>
            <w:pPr>
              <w:pStyle w:val="Normal"/>
              <w:jc w:val="center"/>
            </w:pPr>
            <w:r>
              <w:t xml:space="preserve">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7.</w:t>
            </w:r>
          </w:p>
        </w:tc>
        <w:tc>
          <w:tcPr>
            <w:tcW w:w="2693" w:type="dxa"/>
            <w:textDirection w:val="lrTb"/>
            <w:vAlign w:val="top"/>
          </w:tcPr>
          <w:p>
            <w:pPr>
              <w:pStyle w:val="Normal"/>
              <w:jc w:val="center"/>
            </w:pPr>
            <w:r>
              <w:t xml:space="preserve">Транспорт</w:t>
            </w:r>
          </w:p>
        </w:tc>
        <w:tc>
          <w:tcPr>
            <w:tcW w:w="9531" w:type="dxa"/>
            <w:textDirection w:val="lrTb"/>
            <w:vAlign w:val="top"/>
          </w:tcPr>
          <w:p>
            <w:pPr>
              <w:pStyle w:val="Normal"/>
              <w:jc w:val="center"/>
            </w:pPr>
            <w:r>
              <w:t xml:space="preserve">Транспорт (7.0), Железнодорожные пути (7.1.1), Автомобильный транспорт (7.2), Размещение автомобильных дорог (7.2.1), Стоянки транспорта общего пользования (7.2.3), Земельные участки (территории) общего пользования (12.0), Улично-дорожная сеть (12.0.1)</w:t>
            </w:r>
          </w:p>
        </w:tc>
        <w:tc>
          <w:tcPr>
            <w:tcW w:w="236" w:type="dxa"/>
            <w:textDirection w:val="lrTb"/>
            <w:vAlign w:val="top"/>
          </w:tcPr>
          <w:p>
            <w:pPr>
              <w:pStyle w:val="Normal"/>
              <w:jc w:val="center"/>
            </w:pPr>
            <w:r>
              <w:t xml:space="preserve">1,5</w:t>
            </w:r>
          </w:p>
        </w:tc>
        <w:tc>
          <w:tcPr>
            <w:tcW w:w="1843" w:type="dxa"/>
            <w:textDirection w:val="lrTb"/>
            <w:vAlign w:val="top"/>
          </w:tcPr>
          <w:p>
            <w:pPr>
              <w:pStyle w:val="Normal"/>
              <w:jc w:val="center"/>
            </w:pPr>
            <w:r>
              <w:t xml:space="preserve">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8.</w:t>
            </w:r>
          </w:p>
        </w:tc>
        <w:tc>
          <w:tcPr>
            <w:tcW w:w="2693" w:type="dxa"/>
            <w:textDirection w:val="lrTb"/>
            <w:vAlign w:val="top"/>
          </w:tcPr>
          <w:p>
            <w:pPr>
              <w:pStyle w:val="Normal"/>
              <w:jc w:val="center"/>
            </w:pPr>
            <w:r>
              <w:t xml:space="preserve">Обеспечение обороны и безопасности</w:t>
            </w:r>
          </w:p>
        </w:tc>
        <w:tc>
          <w:tcPr>
            <w:tcW w:w="9531" w:type="dxa"/>
            <w:textDirection w:val="lrTb"/>
            <w:vAlign w:val="top"/>
          </w:tcPr>
          <w:p>
            <w:pPr>
              <w:pStyle w:val="Normal"/>
              <w:jc w:val="center"/>
            </w:pPr>
            <w:r>
              <w:t xml:space="preserve">Обеспечение обороны и безопасности (8.0), Обеспечение вооруженных сил (8.1), Охрана Государственной границы Российской Федерации (8.2), </w:t>
            </w:r>
          </w:p>
        </w:tc>
        <w:tc>
          <w:tcPr>
            <w:tcW w:w="236" w:type="dxa"/>
            <w:textDirection w:val="lrTb"/>
            <w:vAlign w:val="top"/>
          </w:tcPr>
          <w:p>
            <w:pPr>
              <w:pStyle w:val="Normal"/>
              <w:jc w:val="center"/>
            </w:pPr>
            <w:r>
              <w:t xml:space="preserve">1,5</w:t>
            </w:r>
          </w:p>
        </w:tc>
        <w:tc>
          <w:tcPr>
            <w:tcW w:w="1843" w:type="dxa"/>
            <w:textDirection w:val="lrTb"/>
            <w:vAlign w:val="top"/>
          </w:tcPr>
          <w:p>
            <w:pPr>
              <w:pStyle w:val="Normal"/>
              <w:jc w:val="center"/>
            </w:pPr>
            <w:r>
              <w:t xml:space="preserve">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9.</w:t>
            </w:r>
          </w:p>
        </w:tc>
        <w:tc>
          <w:tcPr>
            <w:tcW w:w="2693" w:type="dxa"/>
            <w:textDirection w:val="lrTb"/>
            <w:vAlign w:val="top"/>
          </w:tcPr>
          <w:p>
            <w:pPr>
              <w:pStyle w:val="Normal"/>
              <w:jc w:val="center"/>
            </w:pPr>
            <w:r>
              <w:t xml:space="preserve">Охраняемые природные территории и благоустройство</w:t>
            </w:r>
          </w:p>
        </w:tc>
        <w:tc>
          <w:tcPr>
            <w:tcW w:w="9531" w:type="dxa"/>
            <w:textDirection w:val="lrTb"/>
            <w:vAlign w:val="top"/>
          </w:tcPr>
          <w:p>
            <w:pPr>
              <w:pStyle w:val="Normal"/>
              <w:jc w:val="center"/>
            </w:pPr>
            <w:r>
              <w:t xml:space="preserve">Деятельность по особой охране и изучению природы (9.0), Охрана природных территорий (9.1), Сохранение и репродукция редких и (или) находящихся под угрозой исчезновения видов животных (9.1.1), Курортная деятельность (9.2)</w:t>
            </w:r>
          </w:p>
        </w:tc>
        <w:tc>
          <w:tcPr>
            <w:tcW w:w="236" w:type="dxa"/>
            <w:textDirection w:val="lrTb"/>
            <w:vAlign w:val="top"/>
          </w:tcPr>
          <w:p>
            <w:pPr>
              <w:pStyle w:val="Normal"/>
              <w:jc w:val="center"/>
            </w:pPr>
            <w:r>
              <w:t xml:space="preserve">1,5</w:t>
            </w:r>
          </w:p>
        </w:tc>
        <w:tc>
          <w:tcPr>
            <w:tcW w:w="1843" w:type="dxa"/>
            <w:textDirection w:val="lrTb"/>
            <w:vAlign w:val="top"/>
          </w:tcPr>
          <w:p>
            <w:pPr>
              <w:pStyle w:val="Normal"/>
              <w:jc w:val="center"/>
            </w:pPr>
            <w:r>
              <w:t xml:space="preserve">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10.</w:t>
            </w:r>
          </w:p>
        </w:tc>
        <w:tc>
          <w:tcPr>
            <w:tcW w:w="2693" w:type="dxa"/>
            <w:textDirection w:val="lrTb"/>
            <w:vAlign w:val="top"/>
          </w:tcPr>
          <w:p>
            <w:pPr>
              <w:pStyle w:val="Normal"/>
              <w:jc w:val="center"/>
            </w:pPr>
            <w:r>
              <w:t xml:space="preserve">Использование лесов</w:t>
            </w:r>
          </w:p>
        </w:tc>
        <w:tc>
          <w:tcPr>
            <w:tcW w:w="9531" w:type="dxa"/>
            <w:textDirection w:val="lrTb"/>
            <w:vAlign w:val="top"/>
          </w:tcPr>
          <w:p>
            <w:pPr>
              <w:pStyle w:val="Normal"/>
              <w:jc w:val="center"/>
            </w:pPr>
            <w:r>
              <w:t xml:space="preserve">Использование лесов (10.0), Заготовка древесины (10.1), Лесные плантации (10.2), Заготовка лесных ресурсов (10.3), Резервные леса (10.4)</w:t>
            </w:r>
          </w:p>
        </w:tc>
        <w:tc>
          <w:tcPr>
            <w:tcW w:w="236" w:type="dxa"/>
            <w:textDirection w:val="lrTb"/>
            <w:vAlign w:val="top"/>
          </w:tcPr>
          <w:p>
            <w:pPr>
              <w:pStyle w:val="Normal"/>
              <w:jc w:val="center"/>
            </w:pPr>
            <w:r>
              <w:t xml:space="preserve">1,5</w:t>
            </w:r>
          </w:p>
        </w:tc>
        <w:tc>
          <w:tcPr>
            <w:tcW w:w="1843" w:type="dxa"/>
            <w:textDirection w:val="lrTb"/>
            <w:vAlign w:val="top"/>
          </w:tcPr>
          <w:p>
            <w:pPr>
              <w:pStyle w:val="Normal"/>
              <w:jc w:val="center"/>
            </w:pPr>
            <w:r>
              <w:t xml:space="preserve">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11.</w:t>
            </w:r>
          </w:p>
        </w:tc>
        <w:tc>
          <w:tcPr>
            <w:tcW w:w="2693" w:type="dxa"/>
            <w:textDirection w:val="lrTb"/>
            <w:vAlign w:val="top"/>
          </w:tcPr>
          <w:p>
            <w:pPr>
              <w:pStyle w:val="Normal"/>
              <w:jc w:val="center"/>
            </w:pPr>
            <w:r>
              <w:t xml:space="preserve">Водные объекты</w:t>
            </w:r>
          </w:p>
        </w:tc>
        <w:tc>
          <w:tcPr>
            <w:tcW w:w="9531" w:type="dxa"/>
            <w:textDirection w:val="lrTb"/>
            <w:vAlign w:val="top"/>
          </w:tcPr>
          <w:p>
            <w:pPr>
              <w:pStyle w:val="Normal"/>
              <w:jc w:val="center"/>
            </w:pPr>
            <w:r>
              <w:t xml:space="preserve">Водные объекты (11.0), Общее пользование водными объектами (11.1), Специальное пользование водными объектами (11.2)</w:t>
            </w:r>
          </w:p>
        </w:tc>
        <w:tc>
          <w:tcPr>
            <w:tcW w:w="236" w:type="dxa"/>
            <w:textDirection w:val="lrTb"/>
            <w:vAlign w:val="top"/>
          </w:tcPr>
          <w:p>
            <w:pPr>
              <w:pStyle w:val="Normal"/>
              <w:jc w:val="center"/>
            </w:pPr>
            <w:r>
              <w:t xml:space="preserve">1,5</w:t>
            </w:r>
          </w:p>
        </w:tc>
        <w:tc>
          <w:tcPr>
            <w:tcW w:w="1843" w:type="dxa"/>
            <w:textDirection w:val="lrTb"/>
            <w:vAlign w:val="top"/>
          </w:tcPr>
          <w:p>
            <w:pPr>
              <w:pStyle w:val="Normal"/>
              <w:jc w:val="center"/>
            </w:pPr>
            <w:r>
              <w:t xml:space="preserve">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12.</w:t>
            </w:r>
          </w:p>
        </w:tc>
        <w:tc>
          <w:tcPr>
            <w:tcW w:w="2693" w:type="dxa"/>
            <w:textDirection w:val="lrTb"/>
            <w:vAlign w:val="top"/>
          </w:tcPr>
          <w:p>
            <w:pPr>
              <w:pStyle w:val="Normal"/>
              <w:jc w:val="center"/>
            </w:pPr>
            <w:r>
              <w:t xml:space="preserve">Специальное, ритуальное использование, запас</w:t>
            </w:r>
          </w:p>
        </w:tc>
        <w:tc>
          <w:tcPr>
            <w:tcW w:w="9531" w:type="dxa"/>
            <w:textDirection w:val="lrTb"/>
            <w:vAlign w:val="top"/>
          </w:tcPr>
          <w:p>
            <w:pPr>
              <w:pStyle w:val="Normal"/>
              <w:jc w:val="center"/>
            </w:pPr>
            <w:r>
              <w:t xml:space="preserve">Ритуальная деятельность (12.1), Специальная деятельность (12.2), Запас (12.3)</w:t>
            </w:r>
          </w:p>
        </w:tc>
        <w:tc>
          <w:tcPr>
            <w:tcW w:w="236" w:type="dxa"/>
            <w:textDirection w:val="lrTb"/>
            <w:vAlign w:val="top"/>
          </w:tcPr>
          <w:p>
            <w:pPr>
              <w:pStyle w:val="Normal"/>
              <w:jc w:val="center"/>
            </w:pPr>
            <w:r>
              <w:t xml:space="preserve">1,5</w:t>
            </w:r>
          </w:p>
        </w:tc>
        <w:tc>
          <w:tcPr>
            <w:tcW w:w="1843" w:type="dxa"/>
            <w:textDirection w:val="lrTb"/>
            <w:vAlign w:val="top"/>
          </w:tcPr>
          <w:p>
            <w:pPr>
              <w:pStyle w:val="Normal"/>
              <w:jc w:val="center"/>
            </w:pPr>
            <w:r>
              <w:t xml:space="preserve">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13.</w:t>
            </w:r>
          </w:p>
        </w:tc>
        <w:tc>
          <w:tcPr>
            <w:tcW w:w="2693" w:type="dxa"/>
            <w:textDirection w:val="lrTb"/>
            <w:vAlign w:val="top"/>
          </w:tcPr>
          <w:p>
            <w:pPr>
              <w:pStyle w:val="Normal"/>
              <w:jc w:val="center"/>
            </w:pPr>
            <w:r>
              <w:t xml:space="preserve">Садоводство и огородничество</w:t>
            </w:r>
          </w:p>
        </w:tc>
        <w:tc>
          <w:tcPr>
            <w:tcW w:w="9531" w:type="dxa"/>
            <w:textDirection w:val="lrTb"/>
            <w:vAlign w:val="top"/>
          </w:tcPr>
          <w:p>
            <w:pPr>
              <w:pStyle w:val="Normal"/>
              <w:jc w:val="center"/>
            </w:pPr>
            <w:r>
              <w:t xml:space="preserve">Земельные участки общего назначения (13.0), Ведение огородничества (13.1), Ведение садоводства (13.2)</w:t>
            </w:r>
          </w:p>
        </w:tc>
        <w:tc>
          <w:tcPr>
            <w:tcW w:w="236" w:type="dxa"/>
            <w:textDirection w:val="lrTb"/>
            <w:vAlign w:val="top"/>
          </w:tcPr>
          <w:p>
            <w:pPr>
              <w:pStyle w:val="Normal"/>
              <w:jc w:val="center"/>
            </w:pPr>
            <w:r>
              <w:t xml:space="preserve">1,4</w:t>
            </w:r>
          </w:p>
        </w:tc>
        <w:tc>
          <w:tcPr>
            <w:tcW w:w="1843" w:type="dxa"/>
            <w:textDirection w:val="lrTb"/>
            <w:vAlign w:val="top"/>
          </w:tcPr>
          <w:p>
            <w:pPr>
              <w:pStyle w:val="Normal"/>
              <w:jc w:val="center"/>
            </w:pPr>
            <w:r>
              <w:t xml:space="preserve">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extDirection w:val="lrTb"/>
            <w:vAlign w:val="top"/>
          </w:tcPr>
          <w:p>
            <w:pPr>
              <w:pStyle w:val="Normal"/>
              <w:jc w:val="center"/>
            </w:pPr>
            <w:r>
              <w:t xml:space="preserve">14.</w:t>
            </w:r>
          </w:p>
        </w:tc>
        <w:tc>
          <w:tcPr>
            <w:tcW w:w="2693" w:type="dxa"/>
            <w:textDirection w:val="lrTb"/>
            <w:vAlign w:val="top"/>
          </w:tcPr>
          <w:p>
            <w:pPr>
              <w:pStyle w:val="Normal"/>
              <w:jc w:val="center"/>
            </w:pPr>
            <w:r>
              <w:t xml:space="preserve">Иное использование (</w:t>
            </w:r>
            <w:r>
              <w:t xml:space="preserve">земельные участки </w:t>
            </w:r>
            <w:r>
              <w:t xml:space="preserve">в отношении которых не установлен код вида разрешенного использования)</w:t>
            </w:r>
          </w:p>
        </w:tc>
        <w:tc>
          <w:tcPr>
            <w:tcW w:w="9531" w:type="dxa"/>
            <w:textDirection w:val="lrTb"/>
            <w:vAlign w:val="top"/>
          </w:tcPr>
          <w:p>
            <w:pPr>
              <w:pStyle w:val="Normal"/>
              <w:jc w:val="center"/>
            </w:pPr>
            <w:r>
              <w:t xml:space="preserve">Земельные участки, в отношении которых не установлен код вида разрешенного использования</w:t>
            </w:r>
          </w:p>
        </w:tc>
        <w:tc>
          <w:tcPr>
            <w:tcW w:w="236" w:type="dxa"/>
            <w:textDirection w:val="lrTb"/>
            <w:vAlign w:val="top"/>
          </w:tcPr>
          <w:p>
            <w:pPr>
              <w:pStyle w:val="Normal"/>
              <w:jc w:val="center"/>
            </w:pPr>
            <w:r>
              <w:t xml:space="preserve">3,0</w:t>
            </w:r>
          </w:p>
        </w:tc>
        <w:tc>
          <w:tcPr>
            <w:tcW w:w="1843" w:type="dxa"/>
            <w:textDirection w:val="lrTb"/>
            <w:vAlign w:val="top"/>
          </w:tcPr>
          <w:p>
            <w:pPr>
              <w:pStyle w:val="Normal"/>
              <w:jc w:val="center"/>
            </w:pPr>
            <w:r>
              <w:t xml:space="preserve">3,0</w:t>
            </w:r>
          </w:p>
        </w:tc>
      </w:tr>
    </w:tbl>
    <w:sectPr>
      <w:type w:val="nextPage"/>
      <w:pgSz w:w="16838" w:h="11906" w:orient="landscape"/>
      <w:pgMar w:top="1134" w:right="96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
    <w:multiLevelType w:val="hybridMultilevel"/>
    <w:lvl w:ilvl="0">
      <w:start w:val="1"/>
      <w:numFmt w:val="decimal"/>
      <w:suff w:val="tab"/>
      <w:lvlText w:val="%1."/>
      <w:lvlJc w:val="left"/>
      <w:pPr>
        <w:pStyle w:val="Normal"/>
        <w:tabs>
          <w:tab w:val="num" w:pos="1395" w:leader="none"/>
        </w:tabs>
        <w:ind w:left="1395" w:hanging="855"/>
      </w:pPr>
    </w:lvl>
    <w:lvl w:ilvl="1">
      <w:start w:val="1"/>
      <w:numFmt w:val="lowerLetter"/>
      <w:suff w:val="tab"/>
      <w:lvlText w:val="%2."/>
      <w:lvlJc w:val="left"/>
      <w:pPr>
        <w:pStyle w:val="Normal"/>
        <w:tabs>
          <w:tab w:val="num" w:pos="1620" w:leader="none"/>
        </w:tabs>
        <w:ind w:left="1620" w:hanging="360"/>
      </w:pPr>
    </w:lvl>
    <w:lvl w:ilvl="2">
      <w:start w:val="1"/>
      <w:numFmt w:val="lowerRoman"/>
      <w:suff w:val="tab"/>
      <w:lvlText w:val="%3."/>
      <w:lvlJc w:val="right"/>
      <w:pPr>
        <w:pStyle w:val="Normal"/>
        <w:tabs>
          <w:tab w:val="num" w:pos="2340" w:leader="none"/>
        </w:tabs>
        <w:ind w:left="2340" w:hanging="180"/>
      </w:pPr>
    </w:lvl>
    <w:lvl w:ilvl="3">
      <w:start w:val="1"/>
      <w:numFmt w:val="decimal"/>
      <w:suff w:val="tab"/>
      <w:lvlText w:val="%4."/>
      <w:lvlJc w:val="left"/>
      <w:pPr>
        <w:pStyle w:val="Normal"/>
        <w:tabs>
          <w:tab w:val="num" w:pos="3060" w:leader="none"/>
        </w:tabs>
        <w:ind w:left="3060" w:hanging="360"/>
      </w:pPr>
    </w:lvl>
    <w:lvl w:ilvl="4">
      <w:start w:val="1"/>
      <w:numFmt w:val="lowerLetter"/>
      <w:suff w:val="tab"/>
      <w:lvlText w:val="%5."/>
      <w:lvlJc w:val="left"/>
      <w:pPr>
        <w:pStyle w:val="Normal"/>
        <w:tabs>
          <w:tab w:val="num" w:pos="3780" w:leader="none"/>
        </w:tabs>
        <w:ind w:left="3780" w:hanging="360"/>
      </w:pPr>
    </w:lvl>
    <w:lvl w:ilvl="5">
      <w:start w:val="1"/>
      <w:numFmt w:val="lowerRoman"/>
      <w:suff w:val="tab"/>
      <w:lvlText w:val="%6."/>
      <w:lvlJc w:val="right"/>
      <w:pPr>
        <w:pStyle w:val="Normal"/>
        <w:tabs>
          <w:tab w:val="num" w:pos="4500" w:leader="none"/>
        </w:tabs>
        <w:ind w:left="4500" w:hanging="180"/>
      </w:pPr>
    </w:lvl>
    <w:lvl w:ilvl="6">
      <w:start w:val="1"/>
      <w:numFmt w:val="decimal"/>
      <w:suff w:val="tab"/>
      <w:lvlText w:val="%7."/>
      <w:lvlJc w:val="left"/>
      <w:pPr>
        <w:pStyle w:val="Normal"/>
        <w:tabs>
          <w:tab w:val="num" w:pos="5220" w:leader="none"/>
        </w:tabs>
        <w:ind w:left="5220" w:hanging="360"/>
      </w:pPr>
    </w:lvl>
    <w:lvl w:ilvl="7">
      <w:start w:val="1"/>
      <w:numFmt w:val="lowerLetter"/>
      <w:suff w:val="tab"/>
      <w:lvlText w:val="%8."/>
      <w:lvlJc w:val="left"/>
      <w:pPr>
        <w:pStyle w:val="Normal"/>
        <w:tabs>
          <w:tab w:val="num" w:pos="5940" w:leader="none"/>
        </w:tabs>
        <w:ind w:left="5940" w:hanging="360"/>
      </w:pPr>
    </w:lvl>
    <w:lvl w:ilvl="8">
      <w:start w:val="1"/>
      <w:numFmt w:val="lowerRoman"/>
      <w:suff w:val="tab"/>
      <w:lvlText w:val="%9."/>
      <w:lvlJc w:val="right"/>
      <w:pPr>
        <w:pStyle w:val="Normal"/>
        <w:tabs>
          <w:tab w:val="num" w:pos="6660" w:leader="none"/>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Title">
    <w:name w:val="Название"/>
    <w:basedOn w:val="Normal"/>
    <w:next w:val="Title"/>
    <w:link w:val="Normal"/>
    <w:qFormat/>
    <w:pPr>
      <w:jc w:val="center"/>
    </w:pPr>
    <w:rPr>
      <w:sz w:val="28"/>
    </w:rPr>
  </w:style>
  <w:style w:type="paragraph" w:styleId="BodyText">
    <w:name w:val="Основной текст"/>
    <w:basedOn w:val="Normal"/>
    <w:next w:val="BodyText"/>
    <w:link w:val="Normal"/>
    <w:pPr>
      <w:spacing w:line="360" w:lineRule="auto"/>
      <w:jc w:val="center"/>
    </w:pPr>
    <w:rPr>
      <w:sz w:val="28"/>
      <w:szCs w:val="20"/>
    </w:rPr>
  </w:style>
  <w:style w:type="paragraph" w:styleId="Acetate">
    <w:name w:val="Текст выноски"/>
    <w:basedOn w:val="Normal"/>
    <w:next w:val="Acetate"/>
    <w:link w:val="Normal"/>
    <w:semiHidden/>
    <w:rPr>
      <w:rFonts w:ascii="Tahoma" w:hAnsi="Tahoma" w:cs="Tahoma"/>
      <w:sz w:val="16"/>
      <w:szCs w:val="16"/>
    </w:rPr>
  </w:style>
  <w:style w:type="paragraph" w:styleId="UserStyle_0">
    <w:name w:val="ConsPlusNormal"/>
    <w:next w:val="UserStyle_0"/>
    <w:link w:val="Normal"/>
    <w:rPr>
      <w:sz w:val="28"/>
      <w:szCs w:val="28"/>
      <w:lang w:val="ru-RU" w:eastAsia="ru-RU" w:bidi="ar-SA"/>
    </w:rPr>
  </w:style>
  <w:style w:type="table" w:styleId="TableGrid">
    <w:name w:val="Сетка таблицы"/>
    <w:basedOn w:val="TableNormal"/>
    <w:next w:val="TableGrid"/>
    <w:link w:val="Normal"/>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Р7-Офис/2024.2.1.466</Application>
  <Characters>6401</Characters>
  <CharactersWithSpaces>7508</CharactersWithSpaces>
  <Company>ДИЗО НСО</Company>
  <DocSecurity>0</DocSecurity>
  <HyperlinksChanged>false</HyperlinksChanged>
  <Lines>53</Lines>
  <Pages>4</Pages>
  <Paragraphs>15</Paragraphs>
  <ScaleCrop>false</ScaleCrop>
  <SharedDoc>false</SharedDoc>
  <Template>Normal</Template>
  <Words>1122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RYV</dc:creator>
  <cp:lastModifiedBy>Григоренко Ольга Николаевна</cp:lastModifiedBy>
  <cp:revision>6</cp:revision>
  <dcterms:created xsi:type="dcterms:W3CDTF">2024-07-02T01:36:00Z</dcterms:created>
  <dcterms:modified xsi:type="dcterms:W3CDTF">2024-07-11T12:08:00Z</dcterms:modified>
  <cp:version>1048576</cp:version>
</cp:coreProperties>
</file>