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определения размера арендной платы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земельные участки, государственная собственность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которые не разграничена и предоставленные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аренду без торгов, расположенные 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Предельные (минимальные, максимальные) значения поправочного коэффициента,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применяемого для расчета размера арендной платы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43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80"/>
        <w:gridCol w:w="2664"/>
        <w:gridCol w:w="2960"/>
        <w:gridCol w:w="2410"/>
        <w:gridCol w:w="2694"/>
        <w:gridCol w:w="2835"/>
      </w:tblGrid>
      <w:tr>
        <w:trPr>
          <w:trHeight w:val="66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vMerge w:val="restart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№</w:t>
            </w:r>
            <w:r>
              <w:t xml:space="preserve"> Сегмента</w:t>
            </w:r>
          </w:p>
        </w:tc>
        <w:tc>
          <w:tcPr>
            <w:tcW w:w="2664" w:type="dxa"/>
            <w:vMerge w:val="restart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Сегмент рынка недвижимости</w:t>
            </w:r>
          </w:p>
        </w:tc>
        <w:tc>
          <w:tcPr>
            <w:tcW w:w="5370" w:type="dxa"/>
            <w:gridSpan w:val="2"/>
            <w:textDirection w:val="lrTb"/>
            <w:vAlign w:val="top"/>
          </w:tcPr>
          <w:p>
            <w:pPr>
              <w:pStyle w:val="Normal"/>
              <w:spacing w:line="360" w:lineRule="auto"/>
              <w:jc w:val="center"/>
            </w:pPr>
            <w:r>
              <w:t xml:space="preserve">Значение коэффициента в городе Новосибирске, %</w:t>
            </w:r>
          </w:p>
        </w:tc>
        <w:tc>
          <w:tcPr>
            <w:tcW w:w="5529" w:type="dxa"/>
            <w:gridSpan w:val="2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Значение коэффициента в Новосибирской области, %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2664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</w:pP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минимальный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максимальный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минимальный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максимальный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Сельскохозяйственное использование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0,15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1,54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0,18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2.1. 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Жилая застройка (среднеэтажная и многоэтажная)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2,96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0,13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2.2.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М</w:t>
            </w:r>
            <w:r>
              <w:t xml:space="preserve">алоэтажная жилая застройка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0,29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1,76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2.7.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Хранение автотранспорта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0,26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</w:t>
            </w:r>
            <w:r>
              <w:t xml:space="preserve">74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0,26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Общественное использование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0,21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1,29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0,21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Предпринимательство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0,38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1,99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0,48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Отдых (рекреация)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0,24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1,10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0,32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Производственная деятельность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0,45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1,11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0,47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6.1.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Склады, в т.ч. промышленно-логистические парки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0,28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2,74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0,28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7.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Транспорт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Обеспечение обороны и безопасности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Охраняемые природные территории и благоустройство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10.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Использование лесов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Водные объекты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Специальное, ритуальное использование, запас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Садоводство и огородничество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0,21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2,0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0,21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14.</w:t>
            </w:r>
          </w:p>
        </w:tc>
        <w:tc>
          <w:tcPr>
            <w:tcW w:w="266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Иное использование (</w:t>
            </w:r>
            <w:r>
              <w:t xml:space="preserve">земельные участки </w:t>
            </w:r>
            <w:r>
              <w:t xml:space="preserve">в отношении которых не установлен код вида разрешенного использования)</w:t>
            </w:r>
          </w:p>
        </w:tc>
        <w:tc>
          <w:tcPr>
            <w:tcW w:w="296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0,10</w:t>
            </w:r>
          </w:p>
        </w:tc>
        <w:tc>
          <w:tcPr>
            <w:tcW w:w="2410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2,67</w:t>
            </w:r>
          </w:p>
        </w:tc>
        <w:tc>
          <w:tcPr>
            <w:tcW w:w="269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0,10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2,67</w:t>
            </w:r>
          </w:p>
        </w:tc>
      </w:tr>
    </w:tbl>
    <w:sectPr>
      <w:type w:val="nextPage"/>
      <w:pgSz w:w="16838" w:h="11906" w:orient="landscape"/>
      <w:pgMar w:top="1134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395" w:leader="none"/>
        </w:tabs>
        <w:ind w:left="1395" w:hanging="85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360" w:lineRule="auto"/>
      <w:jc w:val="center"/>
    </w:pPr>
    <w:rPr>
      <w:sz w:val="28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0">
    <w:name w:val="ConsPlusNormal"/>
    <w:next w:val="UserStyle_0"/>
    <w:link w:val="Normal"/>
    <w:rPr>
      <w:sz w:val="28"/>
      <w:szCs w:val="28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1303</Characters>
  <CharactersWithSpaces>1528</CharactersWithSpaces>
  <Company>ДИЗО НСО</Company>
  <DocSecurity>0</DocSecurity>
  <HyperlinksChanged>false</HyperlinksChanged>
  <Lines>10</Lines>
  <Pages>2</Pages>
  <Paragraphs>3</Paragraphs>
  <ScaleCrop>false</ScaleCrop>
  <SharedDoc>false</SharedDoc>
  <Template>Normal</Template>
  <Words>228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RYV</dc:creator>
  <cp:lastModifiedBy>Григоренко Ольга Николаевна</cp:lastModifiedBy>
  <cp:revision>8</cp:revision>
  <dcterms:created xsi:type="dcterms:W3CDTF">2024-07-02T01:36:00Z</dcterms:created>
  <dcterms:modified xsi:type="dcterms:W3CDTF">2024-07-11T12:39:00Z</dcterms:modified>
  <cp:version>1048576</cp:version>
</cp:coreProperties>
</file>