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B5" w:rsidRDefault="00C03DB1">
      <w:pPr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1</w:t>
      </w:r>
    </w:p>
    <w:p w:rsidR="003868B5" w:rsidRDefault="00C03DB1">
      <w:pPr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868B5" w:rsidRDefault="00C03DB1">
      <w:pPr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868B5" w:rsidRDefault="003868B5">
      <w:pPr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3868B5">
      <w:pPr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C03D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«II. Обоснование необходимости реализации</w:t>
      </w:r>
    </w:p>
    <w:p w:rsidR="003868B5" w:rsidRDefault="00C0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программы</w:t>
      </w:r>
    </w:p>
    <w:p w:rsidR="003868B5" w:rsidRDefault="00386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Государственная политика в сфере развития субъектов малого и среднего предпринимательства (далее также –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и субъекты МСП) осуществляется в целях формирования конкурентной среды в экономике Российской Федерации, обеспечения благоприятных условий для развития субъектов малого и среднего предпринимательства, обеспечения конкурентоспособности субъектов малого и среднего предпринимательства, оказания содействи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 субъектам малого и среднего предпринимательства в продвижении производимых ими товаров (работ, услуг), результатов интеллектуальной 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рынок Российской Федерации и рынки иностранных государств, увеличения количества субъектов малого и среднего предпринимательства, обеспечения занятости населения и развития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>, увеличения доли производимых субъектами малого и среднего предпринимательства товаров (работ, услуг) в объеме валового внутреннего продукта, увеличения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количеству малых предприятий в 2016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году Новосибирская область находилась на шестом месте в России (2,9% от общего числа малых предприятий по России) и на первом - в Сибирском федеральном округе (далее - СФО) (25,2% от общего числа малых предприятий по СФО).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данными единого реестра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по состоянию на 10.01.2017 в Новосибирской области действуют 141 849 субъектов малого и среднего предпринимательства, в том числе: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84 672 юридических лиц, среди которых 78 295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/>
          <w:sz w:val="28"/>
          <w:szCs w:val="28"/>
        </w:rPr>
        <w:t>, 5 958 малых предприятия и 409 средних предприятий;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57 177 </w:t>
      </w:r>
      <w:proofErr w:type="gramStart"/>
      <w:r>
        <w:rPr>
          <w:rFonts w:ascii="Times New Roman" w:hAnsi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предпринимателя (далее - ИП), среди которых 56 777 относятся к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микропредприятиям</w:t>
      </w:r>
      <w:proofErr w:type="spellEnd"/>
      <w:r>
        <w:rPr>
          <w:rFonts w:ascii="Times New Roman" w:hAnsi="Times New Roman"/>
          <w:sz w:val="28"/>
          <w:szCs w:val="28"/>
        </w:rPr>
        <w:t>, 396 - к малым предприятиям и 4 - к средним предприятиям.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тысячу человек населения количество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51 единицу.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годы реализации Государственной программы количество субъектов МСП на территории Новосибирской области должно увеличиться на </w:t>
      </w:r>
      <w:r w:rsidR="002950F6">
        <w:rPr>
          <w:rFonts w:ascii="Times New Roman" w:hAnsi="Times New Roman"/>
          <w:sz w:val="28"/>
          <w:szCs w:val="28"/>
        </w:rPr>
        <w:t>4,9 тыс.</w:t>
      </w:r>
      <w:r>
        <w:rPr>
          <w:rFonts w:ascii="Times New Roman" w:hAnsi="Times New Roman"/>
          <w:sz w:val="28"/>
          <w:szCs w:val="28"/>
        </w:rPr>
        <w:t xml:space="preserve"> ед. </w:t>
      </w:r>
      <w:r w:rsidR="002950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составить </w:t>
      </w:r>
      <w:r w:rsidR="002950F6">
        <w:rPr>
          <w:rFonts w:ascii="Times New Roman" w:hAnsi="Times New Roman"/>
          <w:sz w:val="28"/>
          <w:szCs w:val="28"/>
        </w:rPr>
        <w:t>146,7</w:t>
      </w:r>
      <w:r>
        <w:rPr>
          <w:rFonts w:ascii="Times New Roman" w:hAnsi="Times New Roman"/>
          <w:sz w:val="28"/>
          <w:szCs w:val="28"/>
        </w:rPr>
        <w:t xml:space="preserve"> тысяч ед., учитывая рост населения Новосибирской области, количество субъектов МСП на тысячу человек населения останется неизменным.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Оборот малых предприятий (включая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/>
          <w:sz w:val="28"/>
          <w:szCs w:val="28"/>
        </w:rPr>
        <w:t>) и средних предприятий в 2016 году составил 1073,6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млрд. рублей, доля оборота малых предприятий (включая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/>
          <w:sz w:val="28"/>
          <w:szCs w:val="28"/>
        </w:rPr>
        <w:t>) и средних предприятий в обороте всех предприятий и организаций Новосибирской области составила в 2016 году 49%, по сравнению с 2015 годом доля увеличилась на 4,9 процентного пункта.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Темп роста оборота малых (включая микро) и средних предприятий в 2016 году к 2015 году составил 125%, в сопоставимых ценах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– 117,8%. Темп роста оборота малых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(включая микро) и средних предприятий в 2016 году в постоянных ценах по отношению к показателю 2014 года составил 109%, темп роста оборота малых (включая микро) и средних предприятий в 2016 году в расчете на 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работника в постоянных </w:t>
      </w:r>
      <w:proofErr w:type="gramStart"/>
      <w:r>
        <w:rPr>
          <w:rFonts w:ascii="Times New Roman" w:hAnsi="Times New Roman"/>
          <w:sz w:val="28"/>
          <w:szCs w:val="28"/>
        </w:rPr>
        <w:t>ценах</w:t>
      </w:r>
      <w:proofErr w:type="gramEnd"/>
      <w:r>
        <w:rPr>
          <w:rFonts w:ascii="Times New Roman" w:hAnsi="Times New Roman"/>
          <w:sz w:val="28"/>
          <w:szCs w:val="28"/>
        </w:rPr>
        <w:t xml:space="preserve"> по отношению к показателю 2014 года составил 142%.</w:t>
      </w:r>
    </w:p>
    <w:p w:rsidR="003868B5" w:rsidRDefault="00C03DB1" w:rsidP="00295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стратегической</w:t>
      </w:r>
      <w:r w:rsidR="00295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задачей развития малого и среднего предпринимательства в соответствии со Стратегией </w:t>
      </w:r>
      <w:r w:rsidR="002950F6" w:rsidRPr="002950F6">
        <w:rPr>
          <w:rFonts w:ascii="Times New Roman" w:hAnsi="Times New Roman"/>
          <w:sz w:val="28"/>
          <w:szCs w:val="28"/>
        </w:rPr>
        <w:t>развития малого и среднего предпринимательства в Российской Федерации на период до 2030 год</w:t>
      </w:r>
      <w:r w:rsidR="002950F6">
        <w:rPr>
          <w:rFonts w:ascii="Times New Roman" w:hAnsi="Times New Roman"/>
          <w:sz w:val="28"/>
          <w:szCs w:val="28"/>
        </w:rPr>
        <w:t xml:space="preserve">а, утвержденной </w:t>
      </w:r>
      <w:r w:rsidR="002950F6" w:rsidRPr="002950F6">
        <w:rPr>
          <w:rFonts w:ascii="Times New Roman" w:hAnsi="Times New Roman"/>
          <w:sz w:val="28"/>
          <w:szCs w:val="28"/>
        </w:rPr>
        <w:t>распоряжением Правительства</w:t>
      </w:r>
      <w:r w:rsidR="002950F6">
        <w:rPr>
          <w:rFonts w:ascii="Times New Roman" w:hAnsi="Times New Roman"/>
          <w:sz w:val="28"/>
          <w:szCs w:val="28"/>
        </w:rPr>
        <w:t xml:space="preserve"> </w:t>
      </w:r>
      <w:r w:rsidR="002950F6" w:rsidRPr="002950F6">
        <w:rPr>
          <w:rFonts w:ascii="Times New Roman" w:hAnsi="Times New Roman"/>
          <w:sz w:val="28"/>
          <w:szCs w:val="28"/>
        </w:rPr>
        <w:t>Российской Федерации</w:t>
      </w:r>
      <w:r w:rsidR="002950F6">
        <w:rPr>
          <w:rFonts w:ascii="Times New Roman" w:hAnsi="Times New Roman"/>
          <w:sz w:val="28"/>
          <w:szCs w:val="28"/>
        </w:rPr>
        <w:t xml:space="preserve"> </w:t>
      </w:r>
      <w:r w:rsidR="002950F6" w:rsidRPr="002950F6">
        <w:rPr>
          <w:rFonts w:ascii="Times New Roman" w:hAnsi="Times New Roman"/>
          <w:sz w:val="28"/>
          <w:szCs w:val="28"/>
        </w:rPr>
        <w:t xml:space="preserve">от </w:t>
      </w:r>
      <w:r w:rsidR="002950F6">
        <w:rPr>
          <w:rFonts w:ascii="Times New Roman" w:hAnsi="Times New Roman"/>
          <w:sz w:val="28"/>
          <w:szCs w:val="28"/>
        </w:rPr>
        <w:t>02.06.2016</w:t>
      </w:r>
      <w:r w:rsidR="002950F6" w:rsidRPr="002950F6">
        <w:rPr>
          <w:rFonts w:ascii="Times New Roman" w:hAnsi="Times New Roman"/>
          <w:sz w:val="28"/>
          <w:szCs w:val="28"/>
        </w:rPr>
        <w:t xml:space="preserve"> </w:t>
      </w:r>
      <w:r w:rsidR="002950F6">
        <w:rPr>
          <w:rFonts w:ascii="Times New Roman" w:hAnsi="Times New Roman"/>
          <w:sz w:val="28"/>
          <w:szCs w:val="28"/>
        </w:rPr>
        <w:t>№</w:t>
      </w:r>
      <w:r w:rsidR="002950F6" w:rsidRPr="002950F6">
        <w:rPr>
          <w:rFonts w:ascii="Times New Roman" w:hAnsi="Times New Roman"/>
          <w:sz w:val="28"/>
          <w:szCs w:val="28"/>
        </w:rPr>
        <w:t xml:space="preserve"> 1083-</w:t>
      </w:r>
      <w:proofErr w:type="gramStart"/>
      <w:r w:rsidR="002950F6" w:rsidRPr="002950F6">
        <w:rPr>
          <w:rFonts w:ascii="Times New Roman" w:hAnsi="Times New Roman"/>
          <w:sz w:val="28"/>
          <w:szCs w:val="28"/>
        </w:rPr>
        <w:t>р</w:t>
      </w:r>
      <w:r w:rsidR="002950F6">
        <w:rPr>
          <w:rFonts w:ascii="Times New Roman" w:hAnsi="Times New Roman"/>
          <w:sz w:val="28"/>
          <w:szCs w:val="28"/>
        </w:rPr>
        <w:t>(</w:t>
      </w:r>
      <w:proofErr w:type="gramEnd"/>
      <w:r w:rsidR="002950F6">
        <w:rPr>
          <w:rFonts w:ascii="Times New Roman" w:hAnsi="Times New Roman"/>
          <w:sz w:val="28"/>
          <w:szCs w:val="28"/>
        </w:rPr>
        <w:t>далее – Стратегия развития МСП)</w:t>
      </w:r>
      <w:r>
        <w:rPr>
          <w:rFonts w:ascii="Times New Roman" w:hAnsi="Times New Roman"/>
          <w:sz w:val="28"/>
          <w:szCs w:val="28"/>
        </w:rPr>
        <w:t xml:space="preserve"> является обеспечение к 202</w:t>
      </w:r>
      <w:r w:rsidR="002950F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году темпа роста оборота</w:t>
      </w:r>
      <w:r w:rsidR="002950F6" w:rsidRPr="002950F6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в постоянных ценах по отношению к показателю 2014 </w:t>
      </w:r>
      <w:proofErr w:type="spellStart"/>
      <w:r w:rsidR="002950F6" w:rsidRPr="002950F6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равного</w:t>
      </w:r>
      <w:proofErr w:type="spellEnd"/>
      <w:r w:rsidR="002950F6">
        <w:rPr>
          <w:rFonts w:ascii="Times New Roman" w:hAnsi="Times New Roman"/>
          <w:sz w:val="28"/>
          <w:szCs w:val="28"/>
        </w:rPr>
        <w:t xml:space="preserve"> 134</w:t>
      </w:r>
      <w:r>
        <w:rPr>
          <w:rFonts w:ascii="Times New Roman" w:hAnsi="Times New Roman"/>
          <w:sz w:val="28"/>
          <w:szCs w:val="28"/>
        </w:rPr>
        <w:t xml:space="preserve">%, а к 2030 году </w:t>
      </w:r>
      <w:r w:rsidR="002950F6">
        <w:rPr>
          <w:rFonts w:ascii="Times New Roman" w:hAnsi="Times New Roman"/>
          <w:sz w:val="28"/>
          <w:szCs w:val="28"/>
        </w:rPr>
        <w:t>250% и темпа роста оборота</w:t>
      </w:r>
      <w:r w:rsidR="002950F6" w:rsidRPr="002950F6">
        <w:rPr>
          <w:rFonts w:ascii="Times New Roman" w:hAnsi="Times New Roman"/>
          <w:sz w:val="28"/>
          <w:szCs w:val="28"/>
        </w:rPr>
        <w:t xml:space="preserve"> в расчете на одного работника субъекта малого и среднего предпринимательства в постоянных ценах по отношению к показателю 2014 года</w:t>
      </w:r>
      <w:r w:rsidR="002950F6">
        <w:rPr>
          <w:rFonts w:ascii="Times New Roman" w:hAnsi="Times New Roman"/>
          <w:sz w:val="28"/>
          <w:szCs w:val="28"/>
        </w:rPr>
        <w:t xml:space="preserve"> к 2020 году до 123,5% и к 2030 году – 200%.</w:t>
      </w:r>
    </w:p>
    <w:p w:rsidR="002950F6" w:rsidRDefault="00C03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малого и среднего предпринимательства Новосибирской области сосредоточен в </w:t>
      </w:r>
      <w:proofErr w:type="gramStart"/>
      <w:r>
        <w:rPr>
          <w:rFonts w:ascii="Times New Roman" w:hAnsi="Times New Roman"/>
          <w:sz w:val="28"/>
          <w:szCs w:val="28"/>
        </w:rPr>
        <w:t>основном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сферах торговли и предоставления услуг населению. Оборот малых (включая микр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) и средних предприятий, относящихся к виду деятельности «оптовая и розничная торговля; ремонт автотранспортных средств, мотоциклов, бытовых изделий и предметов личного пользования» в 2016 году составил 655 092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млн. руб., что составляет 61% от оборота малых (включая микро-) и средних предприятий. Тогда как доля обрабатывающей </w:t>
      </w:r>
      <w:r>
        <w:rPr>
          <w:rFonts w:ascii="Times New Roman" w:hAnsi="Times New Roman"/>
          <w:sz w:val="28"/>
          <w:szCs w:val="28"/>
        </w:rPr>
        <w:lastRenderedPageBreak/>
        <w:t xml:space="preserve">промышленности в обороте субъектов малого и среднего предпринимательства (без учета индивидуальных предпринимателей) в 2016 году составила 13,6%, по сравнению с 2015 годом доля выросла на 0,9 процентных пунктов. Несмотря на такую положительную динамику, доля оборота малых и средних предприятий, относящихся к сфере деятельности обрабатывающая промышленность, остаётся низкой. Стратегией развития МСП поставлена задача увеличения этого показателя к </w:t>
      </w:r>
      <w:r w:rsidR="002950F6">
        <w:rPr>
          <w:rFonts w:ascii="Times New Roman" w:hAnsi="Times New Roman"/>
          <w:sz w:val="28"/>
          <w:szCs w:val="28"/>
        </w:rPr>
        <w:t>2030 году до 20%.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Средняя численность работников списочного состава (без внешних совместителей) малых предприятий Новосибирской области в 2016 году составила 211,6 тыс. человек, что соответствовало восьмому месту среди регионов Российской Федерации (2,1% от средней численности работников списочного состава малых предприятий в России) и первому месту в СФО (18,2% от средней численности работников списочного состава малых предприятий в СФО).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Оборот малых предприятий в 2016 году составил 894,6 млрд. рублей, что соответствовало восьмому месту среди регионов Российской Федерации (2,3% от общероссийского оборота малых предприятий и первому месту в СФО (24,6% от оборота малых предприятий в СФО).</w:t>
      </w:r>
      <w:proofErr w:type="gramEnd"/>
    </w:p>
    <w:p w:rsidR="003868B5" w:rsidRDefault="00C03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основных показателей свидетельствует о положительной динамике развития сферы МСП в Новосибирской области, чему, безусловно, способствует реализация мероприятий поддержки субъектов МСП в рамках государственной программы.</w:t>
      </w:r>
    </w:p>
    <w:p w:rsidR="003868B5" w:rsidRDefault="00C03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реализации государственной программы являются:</w:t>
      </w:r>
    </w:p>
    <w:p w:rsidR="003868B5" w:rsidRDefault="00C03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финансовых и нефинансовых мер поддержки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68B5" w:rsidRDefault="00C03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развитие инфраструктуры поддержки субъектов МСП;</w:t>
      </w:r>
    </w:p>
    <w:p w:rsidR="003868B5" w:rsidRDefault="00C03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муниципальных программ развития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средств областного бюджета Новосибирской области.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достижения последних лет в сфере развития малого и среднего предпринимательства в области очевидна актуальность принятия на региональном уровне мер для его дальнейшего развития, обусловленная необходимостью увеличения темпов экономического роста в области за счет стимулирования деловой активности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Существование проблем в сфере развития субъектов МСП подтверждается социологическими опросами, мнением администраций муниципальных образований области, ассоциаций и общественных объединений предпринимателей, статистическими данными. 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Среднесписочная численность работников малых (включая микр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) и средних предприятий в 2016 году сократилась до 254,8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тыс. чел., доля в </w:t>
      </w:r>
      <w:r>
        <w:rPr>
          <w:rFonts w:ascii="Times New Roman" w:hAnsi="Times New Roman"/>
          <w:sz w:val="28"/>
          <w:szCs w:val="28"/>
        </w:rPr>
        <w:lastRenderedPageBreak/>
        <w:t>среднесписочной численности работников предприятий и организаций Новосибирской области составила 28%, что на 6,7 процентных пунктов ниже, чем в 2015 году.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/>
          <w:sz w:val="28"/>
          <w:szCs w:val="28"/>
        </w:rPr>
        <w:t>Новосибирскоблстата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</w:rPr>
        <w:t>, степень износа основных фондов в 2014 году составила 42,8%, доля полностью изношенных машин и оборудования - 18,7%.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создания благоприятных условий для ведения предпринимательской деятельности и сокращения коэффициента «ликвидации» предприятий в рамках мероприятий государственной программы осуществляется финансовая поддержка субъектов МСП направленная на компенсацию осуществленных затрат. Финансовая поддержка предусмотрена как для вновь созданных юридических лиц и индивидуальных предпринимателей, так и для действующих субъектов МСП. 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Реализация мероприятий государственной программы, которые направленны на оказание финансовой поддержки субъектам МСП, к 2022 году позволит обеспечить предоставление государственной поддержки не менее 37 тыс. субъектов МСП, что должно привести к увеличению коэффициента «рождаемости» субъектов МСП на 7 единиц по сравнению с 2016 годом (в 2022 году коэффициент составит 220 ед.), увеличению доли среднесписочной численности работников, занятых у субъектов МСП, в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численности занятого населения на 2% по сравнению с 2016 годом (в 2022 году доля составит 30%).</w:t>
      </w:r>
    </w:p>
    <w:p w:rsidR="001212FB" w:rsidRPr="001212FB" w:rsidRDefault="00C03DB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Низкая инновационная активность малых и средних предприятий, низкая доступность производственных помещений в Новосибирской области также являются </w:t>
      </w:r>
      <w:r w:rsidRPr="001212FB">
        <w:rPr>
          <w:rFonts w:ascii="Times New Roman" w:hAnsi="Times New Roman"/>
          <w:color w:val="auto"/>
          <w:sz w:val="28"/>
          <w:szCs w:val="28"/>
        </w:rPr>
        <w:t xml:space="preserve">ключевыми проблемами. </w:t>
      </w:r>
    </w:p>
    <w:p w:rsidR="003868B5" w:rsidRDefault="00E83E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2FB">
        <w:rPr>
          <w:rFonts w:ascii="Times New Roman" w:hAnsi="Times New Roman"/>
          <w:color w:val="auto"/>
          <w:sz w:val="28"/>
          <w:szCs w:val="28"/>
        </w:rPr>
        <w:t xml:space="preserve">В </w:t>
      </w:r>
      <w:proofErr w:type="gramStart"/>
      <w:r w:rsidRPr="001212FB">
        <w:rPr>
          <w:rFonts w:ascii="Times New Roman" w:hAnsi="Times New Roman"/>
          <w:color w:val="auto"/>
          <w:sz w:val="28"/>
          <w:szCs w:val="28"/>
        </w:rPr>
        <w:t>целях</w:t>
      </w:r>
      <w:proofErr w:type="gramEnd"/>
      <w:r w:rsidRPr="001212FB">
        <w:rPr>
          <w:rFonts w:ascii="Times New Roman" w:hAnsi="Times New Roman"/>
          <w:color w:val="auto"/>
          <w:sz w:val="28"/>
          <w:szCs w:val="28"/>
        </w:rPr>
        <w:t xml:space="preserve"> поддержки начинающих субъектов малого предпринимательства, осуществляющих инновационную деятельность, посредством предоставления им в аренду площадей </w:t>
      </w:r>
      <w:r w:rsidR="00C03DB1" w:rsidRPr="001212FB">
        <w:rPr>
          <w:rFonts w:ascii="Times New Roman" w:hAnsi="Times New Roman"/>
          <w:color w:val="auto"/>
          <w:sz w:val="28"/>
          <w:szCs w:val="28"/>
        </w:rPr>
        <w:t>на льготных условиях и оказания ряда услуг, содействующих развитию предпринимательства.</w:t>
      </w:r>
      <w:r w:rsidR="001212FB" w:rsidRPr="001212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212FB">
        <w:rPr>
          <w:rFonts w:ascii="Times New Roman" w:hAnsi="Times New Roman"/>
          <w:color w:val="auto"/>
          <w:sz w:val="28"/>
          <w:szCs w:val="28"/>
        </w:rPr>
        <w:t>В</w:t>
      </w:r>
      <w:r w:rsidR="00C03DB1">
        <w:rPr>
          <w:rFonts w:ascii="Times New Roman" w:hAnsi="Times New Roman"/>
          <w:sz w:val="28"/>
          <w:szCs w:val="28"/>
        </w:rPr>
        <w:t xml:space="preserve"> Новосибирской области созданы и функционируют объекты инфраструктуры поддержки субъектов МСП (бизне</w:t>
      </w:r>
      <w:proofErr w:type="gramStart"/>
      <w:r w:rsidR="00C03DB1">
        <w:rPr>
          <w:rFonts w:ascii="Times New Roman" w:hAnsi="Times New Roman"/>
          <w:sz w:val="28"/>
          <w:szCs w:val="28"/>
        </w:rPr>
        <w:t>с-</w:t>
      </w:r>
      <w:proofErr w:type="gramEnd"/>
      <w:r w:rsidR="00C03DB1">
        <w:rPr>
          <w:rFonts w:ascii="Times New Roman" w:hAnsi="Times New Roman"/>
          <w:sz w:val="28"/>
          <w:szCs w:val="28"/>
        </w:rPr>
        <w:t xml:space="preserve"> инкубаторы, центры прототипирования, Центр молодежного инновационного творчества, инжиниринговые центры).</w:t>
      </w:r>
    </w:p>
    <w:p w:rsidR="00E83EFC" w:rsidRDefault="00E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С 2007 года действует инновационный бизнес-инкубатор в </w:t>
      </w:r>
      <w:proofErr w:type="spellStart"/>
      <w:r w:rsidRPr="00E83EFC">
        <w:rPr>
          <w:rFonts w:ascii="Times New Roman" w:eastAsia="Times New Roman" w:hAnsi="Times New Roman" w:cs="Times New Roman"/>
          <w:sz w:val="28"/>
          <w:szCs w:val="28"/>
        </w:rPr>
        <w:t>наукограде</w:t>
      </w:r>
      <w:proofErr w:type="spellEnd"/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 Кольцово. Предоставление площадей в </w:t>
      </w:r>
      <w:proofErr w:type="gramStart"/>
      <w:r w:rsidRPr="00E83EFC">
        <w:rPr>
          <w:rFonts w:ascii="Times New Roman" w:eastAsia="Times New Roman" w:hAnsi="Times New Roman" w:cs="Times New Roman"/>
          <w:sz w:val="28"/>
          <w:szCs w:val="28"/>
        </w:rPr>
        <w:t>бизнес-инкубаторе</w:t>
      </w:r>
      <w:proofErr w:type="gramEnd"/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конкурсной основе. По итогам 2016 года в </w:t>
      </w:r>
      <w:proofErr w:type="gramStart"/>
      <w:r w:rsidRPr="00E83EFC">
        <w:rPr>
          <w:rFonts w:ascii="Times New Roman" w:eastAsia="Times New Roman" w:hAnsi="Times New Roman" w:cs="Times New Roman"/>
          <w:sz w:val="28"/>
          <w:szCs w:val="28"/>
        </w:rPr>
        <w:t>бизнес-инкубаторе</w:t>
      </w:r>
      <w:proofErr w:type="gramEnd"/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 размещаются 19 малых инновационных компаний, занимающих 80% площади, предназначенной для сдачи в аренду </w:t>
      </w:r>
      <w:proofErr w:type="spellStart"/>
      <w:r w:rsidRPr="00E83EFC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, 3 компании - нерезиденты, обслуживающие резидентов и занимающие 8,6% площади. Годовой оборот субъектов малого предпринимательства, размещающихся в </w:t>
      </w:r>
      <w:proofErr w:type="gramStart"/>
      <w:r w:rsidRPr="00E83EFC">
        <w:rPr>
          <w:rFonts w:ascii="Times New Roman" w:eastAsia="Times New Roman" w:hAnsi="Times New Roman" w:cs="Times New Roman"/>
          <w:sz w:val="28"/>
          <w:szCs w:val="28"/>
        </w:rPr>
        <w:t>бизнес-инкубаторе</w:t>
      </w:r>
      <w:proofErr w:type="gramEnd"/>
      <w:r w:rsidRPr="00E83EFC">
        <w:rPr>
          <w:rFonts w:ascii="Times New Roman" w:eastAsia="Times New Roman" w:hAnsi="Times New Roman" w:cs="Times New Roman"/>
          <w:sz w:val="28"/>
          <w:szCs w:val="28"/>
        </w:rPr>
        <w:t xml:space="preserve">, в 2016 году составил </w:t>
      </w:r>
      <w:r w:rsidRPr="00E83EFC">
        <w:rPr>
          <w:rFonts w:ascii="Times New Roman" w:eastAsia="Times New Roman" w:hAnsi="Times New Roman" w:cs="Times New Roman"/>
          <w:sz w:val="28"/>
          <w:szCs w:val="28"/>
        </w:rPr>
        <w:lastRenderedPageBreak/>
        <w:t>89,8 млн. рублей, количество сотрудников компаний-резидентов - 174 человек, объем налоговых поступлений компаний-резидентов - 21 млн. рублей.</w:t>
      </w:r>
      <w:r w:rsidR="004B6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весь период работы </w:t>
      </w:r>
      <w:proofErr w:type="gramStart"/>
      <w:r>
        <w:rPr>
          <w:rFonts w:ascii="Times New Roman" w:hAnsi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резидентами были </w:t>
      </w:r>
      <w:r w:rsidR="002950F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субъектов малого предпринимательства.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2011 году в Дзержинском районе города Новосибирска начал функционировать бизнес-инкубатор общей площадью 1539,7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В настоящее время там размещаются 17 малых предприятий.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 году было начато строительство еще одного </w:t>
      </w:r>
      <w:proofErr w:type="gramStart"/>
      <w:r>
        <w:rPr>
          <w:rFonts w:ascii="Times New Roman" w:hAnsi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/>
          <w:sz w:val="28"/>
          <w:szCs w:val="28"/>
        </w:rPr>
        <w:t xml:space="preserve"> в городе Новосибирске по адресу: Троллейная, 87/1. Бизнес-инкубатор начал функционировать с 11.09.2015. По состоянию на 01.01.2017 в нем размещается 19 резидентов, занимающих 95,5% площади, предназначенной для сдачи в аренду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>, создано 93 рабочих места.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2022 году количество рабочих мест в относящихся к малым предприятиям компаниях-резидентах </w:t>
      </w:r>
      <w:proofErr w:type="gramStart"/>
      <w:r>
        <w:rPr>
          <w:rFonts w:ascii="Times New Roman" w:hAnsi="Times New Roman"/>
          <w:sz w:val="28"/>
          <w:szCs w:val="28"/>
        </w:rPr>
        <w:t>бизнес-инкубаторов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увеличится на 148 ед. по сравнению с 2016 годом и составит 380 рабочих мест.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2013 года создан и функционирует центр молодежного инновационного творчества. Центр молодежного </w:t>
      </w:r>
      <w:r w:rsidRPr="000A4F6E">
        <w:rPr>
          <w:rFonts w:ascii="Times New Roman" w:hAnsi="Times New Roman"/>
          <w:sz w:val="28"/>
          <w:szCs w:val="28"/>
        </w:rPr>
        <w:t xml:space="preserve">инновационного творчества в </w:t>
      </w:r>
      <w:proofErr w:type="gramStart"/>
      <w:r w:rsidRPr="000A4F6E">
        <w:rPr>
          <w:rFonts w:ascii="Times New Roman" w:hAnsi="Times New Roman"/>
          <w:sz w:val="28"/>
          <w:szCs w:val="28"/>
        </w:rPr>
        <w:t>городе</w:t>
      </w:r>
      <w:proofErr w:type="gramEnd"/>
      <w:r w:rsidRPr="000A4F6E">
        <w:rPr>
          <w:rFonts w:ascii="Times New Roman" w:hAnsi="Times New Roman"/>
          <w:sz w:val="28"/>
          <w:szCs w:val="28"/>
        </w:rPr>
        <w:t xml:space="preserve"> Новосибирске создан для осуществления деятельности в сфере высоких технологий, научных исследований и разработки.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данном центре созданы условия, позволяющие детям и молодежи выполнить на основе современных технологий быстрое </w:t>
      </w:r>
      <w:proofErr w:type="spellStart"/>
      <w:r>
        <w:rPr>
          <w:rFonts w:ascii="Times New Roman" w:hAnsi="Times New Roman"/>
          <w:sz w:val="28"/>
          <w:szCs w:val="28"/>
        </w:rPr>
        <w:t>прототипирование</w:t>
      </w:r>
      <w:proofErr w:type="spellEnd"/>
      <w:r>
        <w:rPr>
          <w:rFonts w:ascii="Times New Roman" w:hAnsi="Times New Roman"/>
          <w:sz w:val="28"/>
          <w:szCs w:val="28"/>
        </w:rPr>
        <w:t>, изготовление опытных образцов, единичной и мелкосерийной продукции в научно-технической сфере, проводить исследования и испытания.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Ежегодно в </w:t>
      </w:r>
      <w:proofErr w:type="gramStart"/>
      <w:r>
        <w:rPr>
          <w:rFonts w:ascii="Times New Roman" w:hAnsi="Times New Roman"/>
          <w:sz w:val="28"/>
          <w:szCs w:val="28"/>
        </w:rPr>
        <w:t>центре</w:t>
      </w:r>
      <w:proofErr w:type="gramEnd"/>
      <w:r>
        <w:rPr>
          <w:rFonts w:ascii="Times New Roman" w:hAnsi="Times New Roman"/>
          <w:sz w:val="28"/>
          <w:szCs w:val="28"/>
        </w:rPr>
        <w:t xml:space="preserve"> на регулярной основе занимается не менее 300 человек. К концу периода реализации государственной программы планируется создание новых центров молодежного инновационного творчества, в которых будут заниматься не менее 900 человек в год.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2010 году было начато создание центра прототипирования в Технопарке Новосибирского Академгородка. Центр прототипирования создан в форме группы специализированных технологических предприятий, координируемых управляющей компанией, способных обеспечить инновационное сообщество качественными и конкурентными производственными и технологическими услугами, востребованными при разработке и производстве сложного высокотехнологического оборудования и приборов. </w:t>
      </w:r>
      <w:proofErr w:type="gramStart"/>
      <w:r>
        <w:rPr>
          <w:rFonts w:ascii="Times New Roman" w:hAnsi="Times New Roman"/>
          <w:sz w:val="28"/>
          <w:szCs w:val="28"/>
        </w:rPr>
        <w:t xml:space="preserve">Созданы следующие технологические участки: участок </w:t>
      </w:r>
      <w:proofErr w:type="spellStart"/>
      <w:r>
        <w:rPr>
          <w:rFonts w:ascii="Times New Roman" w:hAnsi="Times New Roman"/>
          <w:sz w:val="28"/>
          <w:szCs w:val="28"/>
        </w:rPr>
        <w:t>листообработки</w:t>
      </w:r>
      <w:proofErr w:type="spellEnd"/>
      <w:r>
        <w:rPr>
          <w:rFonts w:ascii="Times New Roman" w:hAnsi="Times New Roman"/>
          <w:sz w:val="28"/>
          <w:szCs w:val="28"/>
        </w:rPr>
        <w:t>, участок контрольно-испытательной службы, копировально-полиграфический центр, участок упаковки, участок механики (механообработки), участок высокоточной механообработки, сварочный участок, участок моточного производства и DIP-монтажа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</w:rPr>
        <w:t>, участок слесарного (и радиомонтажного) прототипирования, участок монтажа чип-</w:t>
      </w:r>
      <w:r>
        <w:rPr>
          <w:rFonts w:ascii="Times New Roman" w:hAnsi="Times New Roman"/>
          <w:sz w:val="28"/>
          <w:szCs w:val="28"/>
        </w:rPr>
        <w:lastRenderedPageBreak/>
        <w:t>компонентов (чип-монтаж)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, участок термообработки, гальванический комплекс, участок новых материалов, специализирующийся на создании технологий и изделий с использованием углеродных </w:t>
      </w:r>
      <w:proofErr w:type="spellStart"/>
      <w:r>
        <w:rPr>
          <w:rFonts w:ascii="Times New Roman" w:hAnsi="Times New Roman"/>
          <w:sz w:val="28"/>
          <w:szCs w:val="28"/>
        </w:rPr>
        <w:t>нанотрубок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2016 году услугами Центра прототипирования в Технопарке Новосибирского Академгородка воспользовались 5,3 тыс.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, выполнено 10,5 тыс. заказов на изготовление изделий от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сумму 156,9 млн. рублей, объем реализованной продукции составил 219,7 млн. рублей, предоставлено 188 консультаций.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развитие центра прототипирования в </w:t>
      </w:r>
      <w:proofErr w:type="gramStart"/>
      <w:r>
        <w:rPr>
          <w:rFonts w:ascii="Times New Roman" w:hAnsi="Times New Roman"/>
          <w:sz w:val="28"/>
          <w:szCs w:val="28"/>
        </w:rPr>
        <w:t>Технопарке</w:t>
      </w:r>
      <w:proofErr w:type="gramEnd"/>
      <w:r>
        <w:rPr>
          <w:rFonts w:ascii="Times New Roman" w:hAnsi="Times New Roman"/>
          <w:sz w:val="28"/>
          <w:szCs w:val="28"/>
        </w:rPr>
        <w:t xml:space="preserve"> Новосибирского Академгородка (в том числе дооснащение его новым оборудованием) необходимо для того чтобы обеспечить возможность предоставления современных технологических услуг инновационным малым и средним предприятиям.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2013 году начал функционировать центр прототипирования медицинских изделий и технологий, который является одной из составных частей Инновационного Медико-Технологического Центра, - первого в России медицинского технопарка.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состоит из 4 медико-технологических участков: центр </w:t>
      </w:r>
      <w:proofErr w:type="spellStart"/>
      <w:r>
        <w:rPr>
          <w:rFonts w:ascii="Times New Roman" w:hAnsi="Times New Roman"/>
          <w:sz w:val="28"/>
          <w:szCs w:val="28"/>
        </w:rPr>
        <w:t>таргетных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медицинских технологий, центр регенеративных технологий, центр новых материалов, центр остеопороза.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центра прототипирования медицинских изделий и технологий на введенном в эксплуатацию оборудовании в 2016 году оказано 24 услуги, оказаны 44 консультационные услуги, услуг оказано на сумму 30,5 млн. рублей, объем реализованной продукции - 5,4 млн. рублей, количество созданных новых образцов продукции - 105.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2014 году были созданы два инжиниринговых центра (медико-технологический и в области лабораторной диагностики), основной целью </w:t>
      </w:r>
      <w:proofErr w:type="gramStart"/>
      <w:r>
        <w:rPr>
          <w:rFonts w:ascii="Times New Roman" w:hAnsi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является повышение технологической готовности субъектов малого и среднего предпринимательства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задач, возникающих у субъектов малого и среднего предпринимательства. </w:t>
      </w:r>
      <w:proofErr w:type="gramStart"/>
      <w:r>
        <w:rPr>
          <w:rFonts w:ascii="Times New Roman" w:hAnsi="Times New Roman"/>
          <w:sz w:val="28"/>
          <w:szCs w:val="28"/>
        </w:rPr>
        <w:t xml:space="preserve">Инжиниринговые центры организуют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следующих услуг: консультационных, инженерно-консультационных, проектно-конструкторских и расчетно-аналитических услуг, разработка технических заданий и конструкторской документации на продукт; выработка рекомендаций по сокращению затрат и повышению производительности труда, в том числе с применением современных методов, средств и технологий управления проектами; подготовка технико-экономического обоснования </w:t>
      </w:r>
      <w:r>
        <w:rPr>
          <w:rFonts w:ascii="Times New Roman" w:hAnsi="Times New Roman"/>
          <w:sz w:val="28"/>
          <w:szCs w:val="28"/>
        </w:rPr>
        <w:lastRenderedPageBreak/>
        <w:t>реализации проектов модернизации, технического перевооружения и (или) создания новых производств.</w:t>
      </w:r>
      <w:proofErr w:type="gramEnd"/>
      <w:r>
        <w:rPr>
          <w:rFonts w:ascii="Times New Roman" w:hAnsi="Times New Roman"/>
          <w:sz w:val="28"/>
          <w:szCs w:val="28"/>
        </w:rPr>
        <w:t xml:space="preserve"> В 2016 году инжиниринговыми центрами оказано 116 услуг для 73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Созданные объекты инфраструктуры поддержки и развития инновационного предпринимательства (такие, как центры прототипирования и инжиниринговые центры) являются единым комплексом, содействующим инновационному развитию предпринимательства - от решения задач по созданию прототипа нового товара, оказанию консалтинговых услуг по оценке технологической готовности предприятия к производству такого товара, содействие в сертификации, патентованию, до производства мелкой серии товара. 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Следующим шагом в поддержке инновационного предпринимательства является создание условий для промышленного производства, в том числе путем создания промышленных (индустриальных)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парков, в том числе поддержка и стимулирование создания частных промышленных парков.</w:t>
      </w:r>
    </w:p>
    <w:p w:rsidR="003868B5" w:rsidRDefault="00C03DB1" w:rsidP="004B6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поддержку в рамках региональной программы развития малого и среднего предпринимательства получил частный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медицинский промышленный парк.</w:t>
      </w:r>
      <w:r w:rsidRPr="000A4F6E">
        <w:rPr>
          <w:rFonts w:ascii="Times New Roman" w:hAnsi="Times New Roman"/>
          <w:sz w:val="28"/>
          <w:szCs w:val="28"/>
        </w:rPr>
        <w:t xml:space="preserve"> </w:t>
      </w:r>
      <w:r w:rsidR="004B63D7" w:rsidRPr="000A4F6E">
        <w:rPr>
          <w:rFonts w:ascii="Times New Roman" w:hAnsi="Times New Roman"/>
          <w:sz w:val="28"/>
          <w:szCs w:val="28"/>
        </w:rPr>
        <w:t xml:space="preserve">Создание Медицинского промышленного парка направлено на организацию импортозамещающих производств и повышение конкурентоспособности российских медицинских изделий. </w:t>
      </w:r>
      <w:r w:rsidR="00313E8B" w:rsidRPr="000A4F6E">
        <w:rPr>
          <w:rFonts w:ascii="Times New Roman" w:hAnsi="Times New Roman"/>
          <w:sz w:val="28"/>
          <w:szCs w:val="28"/>
        </w:rPr>
        <w:t xml:space="preserve">Первая очередь Медицинского промышленного парка введена в эксплуатацию в </w:t>
      </w:r>
      <w:proofErr w:type="gramStart"/>
      <w:r w:rsidR="00313E8B" w:rsidRPr="000A4F6E">
        <w:rPr>
          <w:rFonts w:ascii="Times New Roman" w:hAnsi="Times New Roman"/>
          <w:sz w:val="28"/>
          <w:szCs w:val="28"/>
        </w:rPr>
        <w:t>мае</w:t>
      </w:r>
      <w:proofErr w:type="gramEnd"/>
      <w:r w:rsidR="00313E8B" w:rsidRPr="000A4F6E">
        <w:rPr>
          <w:rFonts w:ascii="Times New Roman" w:hAnsi="Times New Roman"/>
          <w:sz w:val="28"/>
          <w:szCs w:val="28"/>
        </w:rPr>
        <w:t xml:space="preserve"> 2016 года. </w:t>
      </w:r>
      <w:r w:rsidR="004B63D7" w:rsidRPr="000A4F6E">
        <w:rPr>
          <w:rFonts w:ascii="Times New Roman" w:hAnsi="Times New Roman"/>
          <w:sz w:val="28"/>
          <w:szCs w:val="28"/>
        </w:rPr>
        <w:t xml:space="preserve">Проект будет запущен тремя очередями, и должен в полном </w:t>
      </w:r>
      <w:proofErr w:type="gramStart"/>
      <w:r w:rsidR="004B63D7" w:rsidRPr="000A4F6E">
        <w:rPr>
          <w:rFonts w:ascii="Times New Roman" w:hAnsi="Times New Roman"/>
          <w:sz w:val="28"/>
          <w:szCs w:val="28"/>
        </w:rPr>
        <w:t>объеме</w:t>
      </w:r>
      <w:proofErr w:type="gramEnd"/>
      <w:r w:rsidR="004B63D7" w:rsidRPr="000A4F6E">
        <w:rPr>
          <w:rFonts w:ascii="Times New Roman" w:hAnsi="Times New Roman"/>
          <w:sz w:val="28"/>
          <w:szCs w:val="28"/>
        </w:rPr>
        <w:t xml:space="preserve"> заработать в конце 2019 года.</w:t>
      </w:r>
      <w:r w:rsidR="00313E8B" w:rsidRPr="000A4F6E">
        <w:rPr>
          <w:rFonts w:ascii="Times New Roman" w:hAnsi="Times New Roman"/>
          <w:sz w:val="28"/>
          <w:szCs w:val="28"/>
        </w:rPr>
        <w:t xml:space="preserve"> 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решение проблемы, связанной с недостаточной информированностью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различным вопросам ведения предпринимательской деятельности (особенно в муниципальных образованиях области, удаленных от областного центра) направлены мероприятия, связанные с размещением информации по вопросам развития и поддержки малого и среднего предпринимательства в Новосибирской области,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конкурсов на оказание финансовой поддержки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прочей информации о развитии малого и среднего предпринимательства на портале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«Малое и среднее предпринимательства Новосибирской области» и на иных сайтах; обеспечением функционирования Бизнес-навигатора МСП в Новосибирской области; а также создание Центра поддержки предпринимательства Новосибирской области.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периода реализации государственной программы доля субъектов МСП, воспользовавшихся информационной поддержкой, составит не менее 35%.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низкой информированностью субъектов МСП существует проблема низкого уровня знаний предпринимателей по вопросам ведения предпринимательской деятельности, недостаточной квалификацией кадров.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Проведение в рамках мероприятия государственной программы обучающих семинаров, курсов для субъектов малого и среднего предпринимательства, их сотрудников и потенциальных предпринимателей Новосибирской области позволит повысить уровень знаний предпринимателей и обеспечить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квалифицированными кадрами не только в городских округах, но и в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городских и сельских </w:t>
      </w:r>
      <w:proofErr w:type="gramStart"/>
      <w:r>
        <w:rPr>
          <w:rFonts w:ascii="Times New Roman" w:hAnsi="Times New Roman"/>
          <w:sz w:val="28"/>
          <w:szCs w:val="28"/>
        </w:rPr>
        <w:t>поселениях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концу периода реализации государственной программы доля субъектов МСП, сотрудники которых участвовали в мероприятиях (в том числе семинарах, тренингах) в общем количестве субъектов МСП увеличится на 0,5 процентных пункта и составит 0,7%.</w:t>
      </w:r>
    </w:p>
    <w:p w:rsidR="00313E8B" w:rsidRDefault="00C03DB1" w:rsidP="0031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Остается актуальной проблема продвижения продукции ее на внутренний, межрегиональный и международный рынки. </w:t>
      </w:r>
    </w:p>
    <w:p w:rsidR="00313E8B" w:rsidRPr="000A4F6E" w:rsidRDefault="00313E8B" w:rsidP="0031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С 2008 года функционирует центр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субконтрактации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, основная задача которого - поиск партнеров для производственной деятельности (кооперации) - поставщиков и заказчиков продукции промышленного назначения, комплектующих, производственных услуг, производственных помещений. Субъекты малого и среднего предпринимательства области вправе воспользоваться услугами центра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субконтрактации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Субконтрактация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позволяет субъектам малого и среднего предпринимательства - заказчикам снизить себестоимость продукции за счет приобретения более дешевых деталей; сократить товарно-материальные запасы; сэкономить вложения в основное производственное оборудование; оптимизировать использование ресурсов, сосредоточившись на сборке продукции, контроле качества, маркетинге продукции, научно-исследовательских и опытно-конструкторских работах; построить более эффективную организационную структуру предприятия. Всего в </w:t>
      </w: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исполнения государственного контракта в 2016 году услуги центра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субконтрактации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оказаны 254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E8B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таможенной статистики, опубликованной на интернет-сайте акционерного общества «Российский Экспортный Центр</w:t>
      </w:r>
      <w:r w:rsidR="00681D37">
        <w:rPr>
          <w:rFonts w:ascii="Times New Roman" w:hAnsi="Times New Roman"/>
          <w:sz w:val="28"/>
          <w:szCs w:val="28"/>
        </w:rPr>
        <w:t>»</w:t>
      </w:r>
      <w:r w:rsidR="00681D37">
        <w:rPr>
          <w:rStyle w:val="ae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,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Новосибирская область занимает </w:t>
      </w:r>
      <w:r w:rsidR="00681D37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место среди субъектов Российской Федерации по</w:t>
      </w:r>
      <w:r w:rsidR="00681D37">
        <w:rPr>
          <w:rFonts w:ascii="Times New Roman" w:hAnsi="Times New Roman"/>
          <w:sz w:val="28"/>
          <w:szCs w:val="28"/>
        </w:rPr>
        <w:t xml:space="preserve"> объему экспорта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681D37">
        <w:rPr>
          <w:rFonts w:ascii="Times New Roman" w:hAnsi="Times New Roman"/>
          <w:sz w:val="28"/>
          <w:szCs w:val="28"/>
        </w:rPr>
        <w:t>Доля сырьевого экспорта предприятий</w:t>
      </w:r>
      <w:r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681D37">
        <w:rPr>
          <w:rFonts w:ascii="Times New Roman" w:hAnsi="Times New Roman"/>
          <w:sz w:val="28"/>
          <w:szCs w:val="28"/>
        </w:rPr>
        <w:t xml:space="preserve">составляет по итогам 2016 года 14,6%, тогда как в </w:t>
      </w:r>
      <w:proofErr w:type="gramStart"/>
      <w:r w:rsidR="00681D37">
        <w:rPr>
          <w:rFonts w:ascii="Times New Roman" w:hAnsi="Times New Roman"/>
          <w:sz w:val="28"/>
          <w:szCs w:val="28"/>
        </w:rPr>
        <w:t>целом</w:t>
      </w:r>
      <w:proofErr w:type="gramEnd"/>
      <w:r w:rsidR="00681D37">
        <w:rPr>
          <w:rFonts w:ascii="Times New Roman" w:hAnsi="Times New Roman"/>
          <w:sz w:val="28"/>
          <w:szCs w:val="28"/>
        </w:rPr>
        <w:t xml:space="preserve"> по Российской федерации</w:t>
      </w:r>
      <w:r w:rsidR="001212FB">
        <w:rPr>
          <w:rFonts w:ascii="Times New Roman" w:hAnsi="Times New Roman"/>
          <w:sz w:val="28"/>
          <w:szCs w:val="28"/>
        </w:rPr>
        <w:t xml:space="preserve"> </w:t>
      </w:r>
      <w:r w:rsidR="00681D37">
        <w:rPr>
          <w:rFonts w:ascii="Times New Roman" w:hAnsi="Times New Roman"/>
          <w:sz w:val="28"/>
          <w:szCs w:val="28"/>
        </w:rPr>
        <w:t>доля сырьевого экспорта составляла 44,6%.</w:t>
      </w:r>
    </w:p>
    <w:p w:rsidR="00313E8B" w:rsidRPr="00313E8B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в 2016 году поставки на экспорт осуществляли </w:t>
      </w:r>
      <w:r w:rsidR="00681D37" w:rsidRPr="00681D37">
        <w:rPr>
          <w:rFonts w:ascii="Times New Roman" w:hAnsi="Times New Roman"/>
          <w:sz w:val="28"/>
          <w:szCs w:val="28"/>
        </w:rPr>
        <w:t>3</w:t>
      </w:r>
      <w:r w:rsidR="00681D37">
        <w:rPr>
          <w:rFonts w:ascii="Times New Roman" w:hAnsi="Times New Roman"/>
          <w:sz w:val="28"/>
          <w:szCs w:val="28"/>
        </w:rPr>
        <w:t>77</w:t>
      </w:r>
      <w:r w:rsidR="00A56E68">
        <w:rPr>
          <w:rStyle w:val="ae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субъектов МСП, что составляет </w:t>
      </w:r>
      <w:r w:rsidR="00681D37">
        <w:rPr>
          <w:rFonts w:ascii="Times New Roman" w:hAnsi="Times New Roman"/>
          <w:sz w:val="28"/>
          <w:szCs w:val="28"/>
        </w:rPr>
        <w:t>0,25</w:t>
      </w:r>
      <w:r>
        <w:rPr>
          <w:rFonts w:ascii="Times New Roman" w:hAnsi="Times New Roman"/>
          <w:sz w:val="28"/>
          <w:szCs w:val="28"/>
        </w:rPr>
        <w:t xml:space="preserve">% от общего количества. Задачей центра координации поддержки </w:t>
      </w:r>
      <w:proofErr w:type="spellStart"/>
      <w:r>
        <w:rPr>
          <w:rFonts w:ascii="Times New Roman" w:hAnsi="Times New Roman"/>
          <w:sz w:val="28"/>
          <w:szCs w:val="28"/>
        </w:rPr>
        <w:t>экспорто</w:t>
      </w:r>
      <w:proofErr w:type="spellEnd"/>
      <w:r>
        <w:rPr>
          <w:rFonts w:ascii="Times New Roman" w:hAnsi="Times New Roman"/>
          <w:sz w:val="28"/>
          <w:szCs w:val="28"/>
        </w:rPr>
        <w:t xml:space="preserve"> ориентированных субъектов МСП является увеличение </w:t>
      </w:r>
      <w:proofErr w:type="spellStart"/>
      <w:r>
        <w:rPr>
          <w:rFonts w:ascii="Times New Roman" w:hAnsi="Times New Roman"/>
          <w:sz w:val="28"/>
          <w:szCs w:val="28"/>
        </w:rPr>
        <w:t>несырьевого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экспорта, а также увеличение количества экспортеров_- субъектов МСП. </w:t>
      </w: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поддержки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экспортно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ориентированных субъектов в области с 2012 года функционирует Центр координации поддержки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экспортно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 (далее - Центр экспорта), задачами которого являются развитие стимулирующей среды, способствующей выходу российских малых и средних предприятий на внешние рынки и повышению их общей конкурентоспособности; развитие инфраструктуры содействия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экспортно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ориентированным малым и средним предприятиям на региональном уровне;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поддержка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экспортно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ориентированных </w:t>
      </w:r>
      <w:r w:rsidRPr="00313E8B">
        <w:rPr>
          <w:rFonts w:ascii="Times New Roman" w:eastAsia="Times New Roman" w:hAnsi="Times New Roman" w:cs="Times New Roman"/>
          <w:sz w:val="28"/>
          <w:szCs w:val="28"/>
        </w:rPr>
        <w:lastRenderedPageBreak/>
        <w:t>малых и средних предприятий в выходе на внешние и межрегиональные рынки для формирования историй успеха.</w:t>
      </w:r>
    </w:p>
    <w:p w:rsidR="00313E8B" w:rsidRPr="00313E8B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За период своей деятельности Центр экспорта организовал коллективные экспозиции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 47 международных выставках. Из них более 90% - на зарубежных международных выставках. Организовано и проведено 37 </w:t>
      </w: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>бизнес-миссий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в зарубежные страны. Проведено 69 различных семинаров, практикумов, круглых столов по вопросам внешнеэкономической деятельности. Оказаны информационно-консультационные услуги более 550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по вопросам внешнеэкономической деятельности, в том числе с привлечением сторонних экспертов на платной основе - более 300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. Всего за 2012 - 2016 гг. проведено мероприятий на общую сумму 91,9 млн. руб. Всего в виде услуг Центра экспорта получили поддержку 1 959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>, при непосредственной поддержке Центра экспорта заключено более 100 экспортных контрактов.</w:t>
      </w:r>
    </w:p>
    <w:p w:rsidR="00170014" w:rsidRDefault="00170014" w:rsidP="00170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содействии центра координации поддержки </w:t>
      </w:r>
      <w:proofErr w:type="spellStart"/>
      <w:r>
        <w:rPr>
          <w:rFonts w:ascii="Times New Roman" w:hAnsi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/>
          <w:sz w:val="28"/>
          <w:szCs w:val="28"/>
        </w:rPr>
        <w:t xml:space="preserve"> ориентированных субъектов МСП Новосибирской </w:t>
      </w:r>
      <w:proofErr w:type="spellStart"/>
      <w:r>
        <w:rPr>
          <w:rFonts w:ascii="Times New Roman" w:hAnsi="Times New Roman"/>
          <w:sz w:val="28"/>
          <w:szCs w:val="28"/>
        </w:rPr>
        <w:t>обласи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в 2022 году 13% от числа обратившихся в Центр за поддержкой субъектов МСП должны заключить экспортные контракты, что должно привести к увеличению числа-экспортеров – субъектов МСП.</w:t>
      </w:r>
    </w:p>
    <w:p w:rsidR="00313E8B" w:rsidRPr="00313E8B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>Ключевой проблемой в привлечении средств на развитие малого и среднего бизнеса является не только стоимость кредитных ресурсов (процентная ставка), но и их доступность - большинство начинающих и быстрорастущих предприятий не обладает ликвидным залоговым обеспечением для привлечения банковских кредитов.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В рамках решения данной проблемы в 2009 году была создана и успешно функционирует Фонд развития малого и среднего предпринимательства Новосибирской области (далее - гарантийный фонд), основным видом </w:t>
      </w: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которой является предоставление финансовых гарантий при кредитовании банковскими учреждениями субъектов малого и среднего предпринимательства. С начала деятельности по состоянию на 01.01.2017 гарантийным фондом было выдано 2 182 поручительства на общую сумму 8,7 млрд. рублей. Это позволило субъектам малого и среднего предпринимательства привлечь кредитные ресурсы (банковские гарантии, заключить лизинговые договоры) на сумму 17,1 млрд. рублей.</w:t>
      </w:r>
    </w:p>
    <w:p w:rsidR="00313E8B" w:rsidRPr="00313E8B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В 2010 году 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также была создана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 (далее - фонд микрофинансирования), основной вид </w:t>
      </w:r>
      <w:proofErr w:type="gramStart"/>
      <w:r w:rsidRPr="00313E8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которой - предоставление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микрозаймов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субъектам малого и среднего предпринимательства Новосибирской области. С начала деятельности по состоянию на 01.01.2017 фондом микрофинансирования было выдано более 2 086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микрозаймов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1 666 млн. рублей.</w:t>
      </w:r>
    </w:p>
    <w:p w:rsidR="003868B5" w:rsidRDefault="00313E8B" w:rsidP="00313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 более низкую стоимость финансовых ресурсов, предоставляемых субъектам малого и среднего предпринимательства гарантийным фондом и фондом микрофинансирования. Гарантийный фонд </w:t>
      </w:r>
      <w:r w:rsidRPr="00313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выбирает банки-партнеры при условии, если последние берут на себя обязательства по льготному кредитованию субъектов малого и среднего предпринимательства по эффективной ставке. Фонд микрофинансирования предоставляет </w:t>
      </w:r>
      <w:proofErr w:type="spellStart"/>
      <w:r w:rsidRPr="00313E8B">
        <w:rPr>
          <w:rFonts w:ascii="Times New Roman" w:eastAsia="Times New Roman" w:hAnsi="Times New Roman" w:cs="Times New Roman"/>
          <w:sz w:val="28"/>
          <w:szCs w:val="28"/>
        </w:rPr>
        <w:t>микрозаймы</w:t>
      </w:r>
      <w:proofErr w:type="spellEnd"/>
      <w:r w:rsidRPr="00313E8B">
        <w:rPr>
          <w:rFonts w:ascii="Times New Roman" w:eastAsia="Times New Roman" w:hAnsi="Times New Roman" w:cs="Times New Roman"/>
          <w:sz w:val="28"/>
          <w:szCs w:val="28"/>
        </w:rPr>
        <w:t xml:space="preserve"> до 3 млн. рублей на срок до 3 лет под 10% годовых, а для предпринимателей сферы материального производства - 8,25% годовых.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принятии государственной программы осуществлена преемственность мероприятий поддержки малого и среднего предпринимательства с ранее действовавшими документами, включая государственную программу Новосибирской области «Развитие субъектов малого и среднего предпринимательства в Новосибирской области на 2012-2016 годы».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государственной программы имеет долгосрочный характер, ее достижение невозможно обеспечить в </w:t>
      </w:r>
      <w:proofErr w:type="gramStart"/>
      <w:r>
        <w:rPr>
          <w:rFonts w:ascii="Times New Roman" w:hAnsi="Times New Roman"/>
          <w:sz w:val="28"/>
          <w:szCs w:val="28"/>
        </w:rPr>
        <w:t>рамках</w:t>
      </w:r>
      <w:proofErr w:type="gramEnd"/>
      <w:r>
        <w:rPr>
          <w:rFonts w:ascii="Times New Roman" w:hAnsi="Times New Roman"/>
          <w:sz w:val="28"/>
          <w:szCs w:val="28"/>
        </w:rPr>
        <w:t xml:space="preserve"> очередного финансового года и последующего планового периода.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мероприятия государственной программы направлены на внедрение стандарта конкуренции в Новосибирской области, утвержденного постановлением Губернатора Новосибирской области от 15.06.2016 № 143 «Об утверждении «Дорожной карты» достижения целевых значений показателей мероприятий по содействию развитию конкуренции на территории Новосибирской области до 2018 года».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программно-целевого метода в Новосибирской области сформированы нормативно-правовые и организационные основы государственной поддержки малого и среднего предпринимательства.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малых предприятий предусмотрены специальные налоговые режимы, позволяющие оптимизировать систему учета и налоговых платежей.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государственной программы определены в следующих документах планирования социально-экономического развития: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 02.06.2016 № 1083-р;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Новосибирской области от 27.12.2016 № 450-п «Об утверждении прогноза социально-экономического развития Новосибирской области на 2016-2030 годы»;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от 01.04.2016 №89-п «Об утверждении программы </w:t>
      </w:r>
      <w:proofErr w:type="spellStart"/>
      <w:r>
        <w:rPr>
          <w:rFonts w:ascii="Times New Roman" w:hAnsi="Times New Roman"/>
          <w:sz w:val="28"/>
          <w:szCs w:val="28"/>
        </w:rPr>
        <w:t>реиндустриализации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экономики Новосибирской области до 2025 года»;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от 05.06.2015 № 287 «О мерах по дальнейшему развитию малого и среднего предпринимательства».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указанными документами сформированы следующие приоритеты государственной политики в сфере реализации государственной программы: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высоких темпов устойчивого роста экономики региона и создание потенциала будущего развития за счет формирования благоприятных условий для бизнеса;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преимущественное развитие быстрорастущих компаний; компаний, реализующих проекты «Программы </w:t>
      </w:r>
      <w:proofErr w:type="spellStart"/>
      <w:r>
        <w:rPr>
          <w:rFonts w:ascii="Times New Roman" w:hAnsi="Times New Roman"/>
          <w:sz w:val="28"/>
          <w:szCs w:val="28"/>
        </w:rPr>
        <w:t>реиндустриализации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экономики Новосибирской области до 2025 года»; осуществляющих экспорт товаров (работ, услуг); зарегистрированных и осуществляющих деятельность в моногородах;</w:t>
      </w:r>
      <w:proofErr w:type="gramEnd"/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целенаправленное воздействие на пространственное размещение бизнеса в Новосибирской области;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инновационной инфраструктуры;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развитию конкуренции на территории Новосибирской области;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населения.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приоритеты и цели государственной политики в сфере реализации государственной программы определяют необходимость комплексного решения задач, направленных на формирование условий для развития малого и среднего предпринимательства в Новосибирской области.</w:t>
      </w:r>
    </w:p>
    <w:p w:rsidR="003868B5" w:rsidRDefault="00C0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государственной программы обеспечит комплексное урегулирование основных проблем в сфере развития малого и среднего предпринимательства; позволит увеличить оборот малых и средних предприятий, количество занятых на таких предприятиях, а также объем отгруженных товаров собственного производства.</w:t>
      </w:r>
    </w:p>
    <w:p w:rsidR="003868B5" w:rsidRDefault="003868B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3868B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3868B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8B5" w:rsidRDefault="00C03DB1">
      <w:pPr>
        <w:pStyle w:val="ConsPlusCell"/>
        <w:ind w:firstLine="709"/>
        <w:jc w:val="center"/>
      </w:pPr>
      <w:r>
        <w:rPr>
          <w:rFonts w:ascii="Times New Roman" w:hAnsi="Times New Roman"/>
          <w:sz w:val="28"/>
          <w:szCs w:val="28"/>
        </w:rPr>
        <w:t>_________»,</w:t>
      </w:r>
    </w:p>
    <w:sectPr w:rsidR="003868B5" w:rsidSect="001212FB">
      <w:headerReference w:type="default" r:id="rId8"/>
      <w:footerReference w:type="default" r:id="rId9"/>
      <w:pgSz w:w="11900" w:h="16840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CF" w:rsidRDefault="00D132CF">
      <w:pPr>
        <w:spacing w:after="0" w:line="240" w:lineRule="auto"/>
      </w:pPr>
      <w:r>
        <w:separator/>
      </w:r>
    </w:p>
  </w:endnote>
  <w:endnote w:type="continuationSeparator" w:id="0">
    <w:p w:rsidR="00D132CF" w:rsidRDefault="00D1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B5" w:rsidRDefault="00386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CF" w:rsidRDefault="00D132CF">
      <w:r>
        <w:separator/>
      </w:r>
    </w:p>
  </w:footnote>
  <w:footnote w:type="continuationSeparator" w:id="0">
    <w:p w:rsidR="00D132CF" w:rsidRDefault="00D132CF">
      <w:r>
        <w:continuationSeparator/>
      </w:r>
    </w:p>
  </w:footnote>
  <w:footnote w:type="continuationNotice" w:id="1">
    <w:p w:rsidR="00D132CF" w:rsidRDefault="00D132CF"/>
  </w:footnote>
  <w:footnote w:id="2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Информация приведена на основании данных Федеральной службы государственной статистики «Основные показатели деятельности малых предприятий (без </w:t>
      </w:r>
      <w:proofErr w:type="spellStart"/>
      <w:r>
        <w:rPr>
          <w:rFonts w:ascii="Times New Roman" w:hAnsi="Times New Roman"/>
        </w:rPr>
        <w:t>микропредприятий</w:t>
      </w:r>
      <w:proofErr w:type="spellEnd"/>
      <w:r>
        <w:rPr>
          <w:rFonts w:ascii="Times New Roman" w:hAnsi="Times New Roman"/>
        </w:rPr>
        <w:t>) по субъектам Российской Федерации за 2016 г.», опубликованной в сети Интернет http://www.gks.ru/wps/wcm/connect/rosstat_main/rosstat/ru/statistics/enterprise/reform/#.</w:t>
      </w:r>
    </w:p>
  </w:footnote>
  <w:footnote w:id="3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Реестр публикуется Федеральной налоговой службой в сети Интернет https://rmsp.nalog.ru.</w:t>
      </w:r>
    </w:p>
  </w:footnote>
  <w:footnote w:id="4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Данные приведены на основе Бюллетеня adm-03-1 «Статистические показатели малого бизнеса (с учетом </w:t>
      </w:r>
      <w:proofErr w:type="spellStart"/>
      <w:r>
        <w:rPr>
          <w:rFonts w:ascii="Times New Roman" w:hAnsi="Times New Roman"/>
        </w:rPr>
        <w:t>микропредприятий</w:t>
      </w:r>
      <w:proofErr w:type="spellEnd"/>
      <w:r>
        <w:rPr>
          <w:rFonts w:ascii="Times New Roman" w:hAnsi="Times New Roman"/>
        </w:rPr>
        <w:t>) городских округов и муниципальных районов Новосибирской области» и бюллетеня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</w:r>
    </w:p>
  </w:footnote>
  <w:footnote w:id="5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Цены приведены к уровню предшествующего года с учетом индекса потребительских цен, опубликованных в  </w:t>
      </w:r>
      <w:proofErr w:type="gramStart"/>
      <w:r>
        <w:rPr>
          <w:rFonts w:ascii="Times New Roman" w:hAnsi="Times New Roman"/>
        </w:rPr>
        <w:t>Бюллетене</w:t>
      </w:r>
      <w:proofErr w:type="gramEnd"/>
      <w:r>
        <w:rPr>
          <w:rFonts w:ascii="Times New Roman" w:hAnsi="Times New Roman"/>
        </w:rPr>
        <w:t xml:space="preserve"> 6.34 «Индексы потребительских цен и средние цены на товары и услуги-представители по Новосибирской области»</w:t>
      </w:r>
    </w:p>
  </w:footnote>
  <w:footnote w:id="6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Данные приведены на основе Бюллетеня adm-03-1 «Статистические показатели малого бизнеса (с учетом </w:t>
      </w:r>
      <w:proofErr w:type="spellStart"/>
      <w:r>
        <w:rPr>
          <w:rFonts w:ascii="Times New Roman" w:hAnsi="Times New Roman"/>
        </w:rPr>
        <w:t>микропредприятий</w:t>
      </w:r>
      <w:proofErr w:type="spellEnd"/>
      <w:r>
        <w:rPr>
          <w:rFonts w:ascii="Times New Roman" w:hAnsi="Times New Roman"/>
        </w:rPr>
        <w:t>) городских округов и муниципальных районов Новосибирской области» и бюллетеня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</w:r>
    </w:p>
  </w:footnote>
  <w:footnote w:id="7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Данные приведены на основе Бюллетеня adm-03-1 «Статистические показатели малого бизнеса (с учетом </w:t>
      </w:r>
      <w:proofErr w:type="spellStart"/>
      <w:r>
        <w:rPr>
          <w:rFonts w:ascii="Times New Roman" w:hAnsi="Times New Roman"/>
        </w:rPr>
        <w:t>микропредприятий</w:t>
      </w:r>
      <w:proofErr w:type="spellEnd"/>
      <w:r>
        <w:rPr>
          <w:rFonts w:ascii="Times New Roman" w:hAnsi="Times New Roman"/>
        </w:rPr>
        <w:t>) городских округов и муниципальных районов Новосибирской области» и бюллетеня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</w:r>
    </w:p>
  </w:footnote>
  <w:footnote w:id="8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Статистический сборник "Основные фонды Новосибирской области 2012" (по каталогу 1.14).</w:t>
      </w:r>
    </w:p>
  </w:footnote>
  <w:footnote w:id="9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DIP-монтаж - способ крепления электронных радиоэлементов на печатную плату путем запайки ножек деталей в специальные отверстия в плате, обеспечивающий механический крепеж элементов.</w:t>
      </w:r>
    </w:p>
  </w:footnote>
  <w:footnote w:id="10">
    <w:p w:rsidR="003868B5" w:rsidRDefault="00C03DB1">
      <w:pPr>
        <w:pStyle w:val="a6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Монтаж </w:t>
      </w:r>
      <w:proofErr w:type="gramStart"/>
      <w:r>
        <w:rPr>
          <w:rFonts w:ascii="Times New Roman" w:hAnsi="Times New Roman"/>
        </w:rPr>
        <w:t>чип-компонентов</w:t>
      </w:r>
      <w:proofErr w:type="gramEnd"/>
      <w:r>
        <w:rPr>
          <w:rFonts w:ascii="Times New Roman" w:hAnsi="Times New Roman"/>
        </w:rPr>
        <w:t xml:space="preserve"> - способ крепления электронных радиоэлементов на печатную плату путем пайки компонентов на поверхность печатной платы, компоненты для поверхностного монтажа также называют чип-компонентами.</w:t>
      </w:r>
    </w:p>
  </w:footnote>
  <w:footnote w:id="11">
    <w:p w:rsidR="00681D37" w:rsidRDefault="00681D37">
      <w:pPr>
        <w:pStyle w:val="a6"/>
      </w:pPr>
      <w:r>
        <w:rPr>
          <w:rStyle w:val="ae"/>
        </w:rPr>
        <w:footnoteRef/>
      </w:r>
      <w:r>
        <w:t xml:space="preserve"> </w:t>
      </w:r>
      <w:hyperlink r:id="rId1" w:history="1">
        <w:r w:rsidRPr="00153903">
          <w:rPr>
            <w:rStyle w:val="a3"/>
          </w:rPr>
          <w:t>http://regionstat.exportcenter.ru/regions/list/</w:t>
        </w:r>
      </w:hyperlink>
      <w:r>
        <w:t xml:space="preserve"> </w:t>
      </w:r>
    </w:p>
  </w:footnote>
  <w:footnote w:id="12">
    <w:p w:rsidR="00A56E68" w:rsidRDefault="00A56E68">
      <w:pPr>
        <w:pStyle w:val="a6"/>
      </w:pPr>
      <w:r>
        <w:rPr>
          <w:rStyle w:val="ae"/>
        </w:rPr>
        <w:footnoteRef/>
      </w:r>
      <w:r>
        <w:t xml:space="preserve"> </w:t>
      </w:r>
      <w:hyperlink r:id="rId2" w:history="1">
        <w:r w:rsidRPr="00153903">
          <w:rPr>
            <w:rStyle w:val="a3"/>
          </w:rPr>
          <w:t>http://www.gks.ru/metod/pred-export.htm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B5" w:rsidRDefault="003868B5">
    <w:pPr>
      <w:pStyle w:val="a4"/>
      <w:jc w:val="center"/>
      <w:rPr>
        <w:lang w:val="en-US"/>
      </w:rPr>
    </w:pPr>
  </w:p>
  <w:p w:rsidR="003868B5" w:rsidRDefault="00C03DB1">
    <w:pPr>
      <w:pStyle w:val="a4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212FB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68B5"/>
    <w:rsid w:val="000A4F6E"/>
    <w:rsid w:val="001212FB"/>
    <w:rsid w:val="00170014"/>
    <w:rsid w:val="002950F6"/>
    <w:rsid w:val="00313E8B"/>
    <w:rsid w:val="003868B5"/>
    <w:rsid w:val="003D0960"/>
    <w:rsid w:val="004B63D7"/>
    <w:rsid w:val="004E7DE1"/>
    <w:rsid w:val="00681D37"/>
    <w:rsid w:val="00886776"/>
    <w:rsid w:val="00A56E68"/>
    <w:rsid w:val="00B35E5C"/>
    <w:rsid w:val="00C03DB1"/>
    <w:rsid w:val="00CA7981"/>
    <w:rsid w:val="00D132CF"/>
    <w:rsid w:val="00E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a7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color w:val="0000FF"/>
      <w:u w:val="single" w:color="0000FF"/>
    </w:r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eastAsia="Arial" w:hAnsi="Arial" w:cs="Arial"/>
      <w:color w:val="000000"/>
      <w:u w:color="000000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9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50F6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e">
    <w:name w:val="footnote reference"/>
    <w:basedOn w:val="a0"/>
    <w:uiPriority w:val="99"/>
    <w:semiHidden/>
    <w:unhideWhenUsed/>
    <w:rsid w:val="00681D37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A56E68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a7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color w:val="0000FF"/>
      <w:u w:val="single" w:color="0000FF"/>
    </w:r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eastAsia="Arial" w:hAnsi="Arial" w:cs="Arial"/>
      <w:color w:val="000000"/>
      <w:u w:color="000000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9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50F6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e">
    <w:name w:val="footnote reference"/>
    <w:basedOn w:val="a0"/>
    <w:uiPriority w:val="99"/>
    <w:semiHidden/>
    <w:unhideWhenUsed/>
    <w:rsid w:val="00681D37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A56E6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ks.ru/metod/pred-export.htm" TargetMode="External"/><Relationship Id="rId1" Type="http://schemas.openxmlformats.org/officeDocument/2006/relationships/hyperlink" Target="http://regionstat.exportcenter.ru/regions/list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983077-BB3B-47DB-847E-9FEF92E3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Шевченко Ольга Вячеславовна</cp:lastModifiedBy>
  <cp:revision>4</cp:revision>
  <dcterms:created xsi:type="dcterms:W3CDTF">2017-06-19T10:11:00Z</dcterms:created>
  <dcterms:modified xsi:type="dcterms:W3CDTF">2017-06-19T10:20:00Z</dcterms:modified>
</cp:coreProperties>
</file>