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6"/>
        <w:ind w:firstLine="426"/>
        <w:jc w:val="center"/>
        <w:rPr>
          <w:szCs w:val="28"/>
        </w:rPr>
      </w:pPr>
      <w:r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 xml:space="preserve">         </w:t>
      </w:r>
      <w:r>
        <w:rPr>
          <w:color w:val="1f497d"/>
          <w:szCs w:val="28"/>
        </w:rPr>
        <w:t xml:space="preserve">                                                             </w:t>
      </w:r>
      <w:r>
        <w:rPr>
          <w:szCs w:val="28"/>
        </w:rPr>
        <w:t xml:space="preserve">Проект </w:t>
      </w:r>
      <w:r>
        <w:rPr>
          <w:szCs w:val="28"/>
        </w:rPr>
      </w:r>
      <w:r>
        <w:rPr>
          <w:szCs w:val="28"/>
        </w:rPr>
      </w:r>
    </w:p>
    <w:p>
      <w:pPr>
        <w:pStyle w:val="946"/>
        <w:ind w:firstLine="426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</w:t>
      </w:r>
      <w:r>
        <w:rPr>
          <w:szCs w:val="28"/>
        </w:rPr>
        <w:t xml:space="preserve">постановления Правительства</w:t>
      </w:r>
      <w:r>
        <w:rPr>
          <w:szCs w:val="28"/>
        </w:rPr>
      </w:r>
      <w:r>
        <w:rPr>
          <w:szCs w:val="28"/>
        </w:rPr>
      </w:r>
    </w:p>
    <w:p>
      <w:pPr>
        <w:pStyle w:val="946"/>
        <w:ind w:firstLine="426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</w:t>
      </w:r>
      <w:r>
        <w:rPr>
          <w:szCs w:val="28"/>
        </w:rPr>
        <w:t xml:space="preserve">Новосибирской области</w:t>
      </w:r>
      <w:r>
        <w:rPr>
          <w:szCs w:val="28"/>
        </w:rPr>
      </w:r>
      <w:r>
        <w:rPr>
          <w:szCs w:val="28"/>
        </w:rPr>
      </w:r>
    </w:p>
    <w:p>
      <w:pPr>
        <w:pStyle w:val="946"/>
      </w:pPr>
      <w:r/>
      <w:r/>
    </w:p>
    <w:p>
      <w:pPr>
        <w:pStyle w:val="946"/>
      </w:pPr>
      <w:r/>
      <w:r/>
    </w:p>
    <w:p>
      <w:pPr>
        <w:pStyle w:val="946"/>
      </w:pPr>
      <w:r/>
      <w:r/>
    </w:p>
    <w:p>
      <w:pPr>
        <w:pStyle w:val="946"/>
      </w:pPr>
      <w:r/>
      <w:r/>
    </w:p>
    <w:p>
      <w:pPr>
        <w:pStyle w:val="946"/>
      </w:pPr>
      <w:r/>
      <w:r/>
    </w:p>
    <w:p>
      <w:pPr>
        <w:pStyle w:val="946"/>
      </w:pPr>
      <w:r/>
      <w:r/>
    </w:p>
    <w:p>
      <w:pPr>
        <w:pStyle w:val="946"/>
      </w:pPr>
      <w:r/>
      <w:r/>
    </w:p>
    <w:p>
      <w:pPr>
        <w:pStyle w:val="946"/>
      </w:pPr>
      <w:r/>
      <w:r/>
    </w:p>
    <w:p>
      <w:pPr>
        <w:pStyle w:val="946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46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46"/>
        <w:jc w:val="center"/>
        <w:rPr>
          <w:szCs w:val="28"/>
        </w:rPr>
      </w:pPr>
      <w:r>
        <w:rPr>
          <w:szCs w:val="28"/>
        </w:rPr>
        <w:t xml:space="preserve">О внесении измен</w:t>
      </w:r>
      <w:r>
        <w:rPr>
          <w:szCs w:val="28"/>
        </w:rPr>
        <w:t xml:space="preserve">ений</w:t>
      </w:r>
      <w:r>
        <w:rPr>
          <w:szCs w:val="28"/>
        </w:rPr>
        <w:t xml:space="preserve"> в постановление </w:t>
      </w:r>
      <w:r>
        <w:rPr>
          <w:szCs w:val="28"/>
        </w:rPr>
        <w:t xml:space="preserve">Правительства Новосибирской области </w:t>
      </w:r>
      <w:r>
        <w:rPr>
          <w:szCs w:val="28"/>
        </w:rPr>
      </w:r>
      <w:r>
        <w:rPr>
          <w:szCs w:val="28"/>
        </w:rPr>
      </w:r>
    </w:p>
    <w:p>
      <w:pPr>
        <w:pStyle w:val="946"/>
        <w:jc w:val="center"/>
        <w:rPr>
          <w:szCs w:val="28"/>
        </w:rPr>
      </w:pPr>
      <w:r>
        <w:rPr>
          <w:szCs w:val="28"/>
        </w:rPr>
        <w:t xml:space="preserve">от 16.04.2019 № 138-п</w:t>
      </w:r>
      <w:r>
        <w:rPr>
          <w:szCs w:val="28"/>
        </w:rPr>
      </w:r>
      <w:r>
        <w:rPr>
          <w:szCs w:val="28"/>
        </w:rPr>
      </w:r>
    </w:p>
    <w:p>
      <w:pPr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46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46"/>
        <w:ind w:firstLine="567"/>
        <w:jc w:val="both"/>
        <w:rPr>
          <w:szCs w:val="28"/>
        </w:rPr>
      </w:pPr>
      <w:r>
        <w:rPr>
          <w:szCs w:val="28"/>
        </w:rPr>
        <w:t xml:space="preserve">Правительство Но</w:t>
      </w:r>
      <w:r>
        <w:rPr>
          <w:szCs w:val="28"/>
        </w:rPr>
        <w:t xml:space="preserve">восибирской области </w:t>
      </w:r>
      <w:r>
        <w:rPr>
          <w:b/>
          <w:szCs w:val="28"/>
        </w:rPr>
        <w:t xml:space="preserve">п о с т а н о в л я е т</w:t>
      </w:r>
      <w:r>
        <w:rPr>
          <w:szCs w:val="28"/>
        </w:rPr>
        <w:t xml:space="preserve">:</w:t>
      </w:r>
      <w:r>
        <w:rPr>
          <w:szCs w:val="28"/>
        </w:rPr>
      </w:r>
      <w:r>
        <w:rPr>
          <w:szCs w:val="28"/>
        </w:rPr>
      </w:r>
    </w:p>
    <w:p>
      <w:pPr>
        <w:pStyle w:val="946"/>
        <w:ind w:firstLine="567"/>
        <w:jc w:val="both"/>
        <w:rPr>
          <w:szCs w:val="28"/>
        </w:rPr>
      </w:pPr>
      <w:r>
        <w:rPr>
          <w:szCs w:val="28"/>
        </w:rPr>
        <w:t xml:space="preserve">В</w:t>
      </w:r>
      <w:r>
        <w:rPr>
          <w:szCs w:val="28"/>
        </w:rPr>
        <w:t xml:space="preserve">нести в п</w:t>
      </w:r>
      <w:r>
        <w:rPr>
          <w:szCs w:val="28"/>
        </w:rPr>
        <w:t xml:space="preserve">остановление </w:t>
      </w:r>
      <w:r>
        <w:rPr>
          <w:szCs w:val="28"/>
        </w:rPr>
        <w:t xml:space="preserve">Правительства Новосибирской области </w:t>
      </w:r>
      <w:r>
        <w:rPr>
          <w:szCs w:val="28"/>
        </w:rPr>
        <w:t xml:space="preserve">от </w:t>
      </w:r>
      <w:r>
        <w:rPr>
          <w:szCs w:val="28"/>
        </w:rPr>
        <w:t xml:space="preserve">16.04.2019 № 138-п </w:t>
      </w:r>
      <w:r>
        <w:rPr>
          <w:szCs w:val="28"/>
        </w:rPr>
        <w:t xml:space="preserve">«</w:t>
      </w:r>
      <w:r>
        <w:rPr>
          <w:szCs w:val="28"/>
        </w:rPr>
        <w:t xml:space="preserve">Об утверждении Порядка рассмотрения документов, обосновывающих соответствие масштабного инвестиционного проекта, связанного со строительством жилья, критериям, установленным Законом Новосибирской </w:t>
      </w:r>
      <w:r>
        <w:rPr>
          <w:szCs w:val="28"/>
        </w:rPr>
        <w:t xml:space="preserve">области от 01.07.2015 №</w:t>
      </w:r>
      <w:r>
        <w:rPr>
          <w:szCs w:val="28"/>
        </w:rPr>
        <w:t xml:space="preserve"> 583-ОЗ «</w:t>
      </w:r>
      <w:r>
        <w:rPr>
          <w:szCs w:val="28"/>
        </w:rPr>
        <w:t xml:space="preserve">Об</w:t>
      </w:r>
      <w:r>
        <w:rPr>
          <w:szCs w:val="28"/>
        </w:rPr>
        <w:t xml:space="preserve">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</w:t>
      </w:r>
      <w:r>
        <w:rPr>
          <w:szCs w:val="28"/>
        </w:rPr>
        <w:t xml:space="preserve">»</w:t>
      </w:r>
      <w:r>
        <w:rPr>
          <w:szCs w:val="28"/>
        </w:rPr>
        <w:t xml:space="preserve"> </w:t>
      </w:r>
      <w:r>
        <w:rPr>
          <w:szCs w:val="28"/>
        </w:rPr>
        <w:t xml:space="preserve">следующи</w:t>
      </w:r>
      <w:r>
        <w:rPr>
          <w:szCs w:val="28"/>
        </w:rPr>
        <w:t xml:space="preserve">е </w:t>
      </w:r>
      <w:r>
        <w:rPr>
          <w:szCs w:val="28"/>
        </w:rPr>
        <w:t xml:space="preserve">измен</w:t>
      </w:r>
      <w:r>
        <w:rPr>
          <w:szCs w:val="28"/>
        </w:rPr>
        <w:t xml:space="preserve">е</w:t>
      </w:r>
      <w:r>
        <w:rPr>
          <w:szCs w:val="28"/>
        </w:rPr>
        <w:t xml:space="preserve">ния</w:t>
      </w:r>
      <w:r>
        <w:rPr>
          <w:szCs w:val="28"/>
        </w:rPr>
        <w:t xml:space="preserve">:</w:t>
      </w:r>
      <w:r>
        <w:rPr>
          <w:szCs w:val="28"/>
        </w:rPr>
      </w:r>
      <w:r>
        <w:rPr>
          <w:szCs w:val="28"/>
        </w:rPr>
      </w:r>
    </w:p>
    <w:p>
      <w:pPr>
        <w:ind w:firstLine="567"/>
        <w:jc w:val="both"/>
        <w:rPr>
          <w:highlight w:val="none"/>
        </w:rPr>
      </w:pPr>
      <w:r>
        <w:rPr>
          <w:szCs w:val="28"/>
        </w:rPr>
        <w:t xml:space="preserve">в </w:t>
      </w:r>
      <w:r>
        <w:rPr>
          <w:szCs w:val="28"/>
        </w:rPr>
        <w:t xml:space="preserve">Поряд</w:t>
      </w:r>
      <w:r>
        <w:rPr>
          <w:szCs w:val="28"/>
        </w:rPr>
        <w:t xml:space="preserve">ке рассмотрения документов, обосновывающих соответствие масштабного инвестиционного проекта, связанного со строительством жилья, критериям, установленным Законом Новосибирской области от 01.07.2015 </w:t>
      </w:r>
      <w:r>
        <w:rPr>
          <w:szCs w:val="28"/>
        </w:rPr>
        <w:br/>
      </w:r>
      <w:r>
        <w:rPr>
          <w:szCs w:val="28"/>
        </w:rPr>
        <w:t xml:space="preserve">№ 583-ОЗ «Об установлении критериев, которым должны со</w:t>
      </w:r>
      <w:r>
        <w:rPr>
          <w:szCs w:val="28"/>
        </w:rPr>
        <w:t xml:space="preserve">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</w:t>
      </w:r>
      <w:r>
        <w:rPr>
          <w:szCs w:val="28"/>
        </w:rPr>
        <w:t xml:space="preserve">:</w:t>
      </w:r>
      <w:r>
        <w:rPr>
          <w:highlight w:val="none"/>
        </w:rPr>
      </w:r>
      <w:r>
        <w:rPr>
          <w:highlight w:val="none"/>
        </w:rPr>
      </w:r>
    </w:p>
    <w:p>
      <w:pPr>
        <w:pStyle w:val="787"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ункт 15 дополнить подпунктами 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highlight w:val="none"/>
          <w14:ligatures w14:val="none"/>
        </w:rPr>
      </w:pPr>
      <w:r>
        <w:rPr>
          <w:highlight w:val="none"/>
        </w:rPr>
        <w:t xml:space="preserve">«</w:t>
      </w:r>
      <w:r>
        <w:rPr>
          <w:highlight w:val="none"/>
        </w:rPr>
        <w:t xml:space="preserve">6</w:t>
      </w:r>
      <w:r>
        <w:rPr>
          <w:highlight w:val="none"/>
        </w:rPr>
        <w:t xml:space="preserve">)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размер денежных средств, подлежащих внесению на завершение строительства многоквартирного дома, застройщик которого не исполнил свои обязательства по передаче жилых помещений гражданам, вложившим денежные средства в строительство многоквартирных домов, и</w:t>
      </w:r>
      <w:r>
        <w:rPr>
          <w:highlight w:val="none"/>
        </w:rPr>
        <w:t xml:space="preserve"> с</w:t>
      </w:r>
      <w:r>
        <w:rPr>
          <w:highlight w:val="none"/>
        </w:rPr>
        <w:t xml:space="preserve">тоимость передаваемых инициатором проекта жилых помещений гражданам, пострадавшим от действий застройщиков (за вычетом размера денежных средств, оплачиваемых гражданином дополнительно за передаваемое жилое помещение), рассчитываемая исходя из средней цены </w:t>
      </w:r>
      <w:r>
        <w:rPr>
          <w:highlight w:val="none"/>
        </w:rPr>
        <w:t xml:space="preserve">на первичном рынке жилья среднего качества (типового) по </w:t>
      </w:r>
      <w:r>
        <w:rPr>
          <w:highlight w:val="none"/>
        </w:rPr>
        <w:t xml:space="preserve">Новосибирской области</w:t>
      </w:r>
      <w:r>
        <w:rPr>
          <w:highlight w:val="none"/>
        </w:rPr>
        <w:t xml:space="preserve">, публикуемая на официальном сайте территориального органа Федеральной службы государственной статистики по Новосибирской области, на момент предоставления ходатайства менее</w:t>
      </w:r>
      <w:r>
        <w:rPr>
          <w:highlight w:val="none"/>
        </w:rPr>
        <w:t xml:space="preserve"> 90 %</w:t>
      </w:r>
      <w:r>
        <w:rPr>
          <w:highlight w:val="none"/>
        </w:rPr>
        <w:t xml:space="preserve"> стоимос</w:t>
      </w:r>
      <w:r>
        <w:rPr>
          <w:highlight w:val="none"/>
        </w:rPr>
        <w:t xml:space="preserve">ти испрашиваемого земельного участка</w:t>
      </w:r>
      <w:r>
        <w:rPr>
          <w:highlight w:val="none"/>
        </w:rPr>
        <w:t xml:space="preserve"> </w:t>
      </w:r>
      <w:r>
        <w:rPr>
          <w:highlight w:val="none"/>
        </w:rPr>
        <w:t xml:space="preserve">(земельных участков)</w:t>
      </w:r>
      <w:r>
        <w:rPr>
          <w:highlight w:val="none"/>
        </w:rPr>
        <w:t xml:space="preserve">, которая определяется в соответствии с законодательством об оценочной деятельности, - в отношении проектов, критери</w:t>
      </w:r>
      <w:r>
        <w:rPr>
          <w:highlight w:val="none"/>
        </w:rPr>
        <w:t xml:space="preserve">й</w:t>
      </w:r>
      <w:r>
        <w:rPr>
          <w:highlight w:val="none"/>
        </w:rPr>
        <w:t xml:space="preserve"> для которых установлен пунктом 2 части 1 статьи 1 Закона Новосибирской области;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567"/>
        <w:jc w:val="both"/>
        <w:rPr>
          <w:highlight w:val="none"/>
          <w14:ligatures w14:val="none"/>
        </w:rPr>
      </w:pPr>
      <w:r>
        <w:rPr>
          <w:highlight w:val="none"/>
        </w:rPr>
        <w:t xml:space="preserve">7</w:t>
      </w:r>
      <w:r>
        <w:rPr>
          <w:highlight w:val="none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размер денежных средств, подлежащих вложению на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(реконструкци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) объекта капитального строительства для нужд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none"/>
        </w:rPr>
        <w:t xml:space="preserve">и</w:t>
      </w:r>
      <w:r>
        <w:rPr>
          <w:highlight w:val="none"/>
        </w:rPr>
        <w:t xml:space="preserve"> стоимость передаваемых инициатором проекта жилых помещений</w:t>
      </w:r>
      <w:r>
        <w:rPr>
          <w:highlight w:val="none"/>
        </w:rPr>
        <w:t xml:space="preserve">,</w:t>
      </w:r>
      <w:r>
        <w:rPr>
          <w:highlight w:val="none"/>
        </w:rPr>
        <w:t xml:space="preserve"> </w:t>
      </w:r>
      <w:r>
        <w:rPr>
          <w:highlight w:val="none"/>
        </w:rPr>
        <w:t xml:space="preserve">рассчитываемая исходя из средней цены </w:t>
      </w:r>
      <w:r>
        <w:rPr>
          <w:highlight w:val="none"/>
        </w:rPr>
        <w:t xml:space="preserve">н</w:t>
      </w:r>
      <w:r>
        <w:rPr>
          <w:highlight w:val="none"/>
        </w:rPr>
        <w:t xml:space="preserve">а первичном рынке жилья среднего качества (типового) по Новосибирской области, публикуемая на официальном сайте территориального органа Федеральной службы государственной статистики по Новосибирской области, на момент предоставления ходатайства, </w:t>
      </w:r>
      <w:r>
        <w:rPr>
          <w:rFonts w:ascii="Times New Roman" w:hAnsi="Times New Roman" w:cs="Times New Roman"/>
          <w:sz w:val="28"/>
          <w:szCs w:val="28"/>
        </w:rPr>
        <w:t xml:space="preserve"> менее </w:t>
      </w:r>
      <w:r>
        <w:rPr>
          <w:rFonts w:ascii="Times New Roman" w:hAnsi="Times New Roman" w:cs="Times New Roman"/>
          <w:sz w:val="28"/>
          <w:szCs w:val="28"/>
        </w:rPr>
        <w:t xml:space="preserve">90 % </w:t>
      </w:r>
      <w:r>
        <w:rPr>
          <w:rFonts w:ascii="Times New Roman" w:hAnsi="Times New Roman" w:cs="Times New Roman"/>
          <w:sz w:val="28"/>
          <w:szCs w:val="28"/>
        </w:rPr>
        <w:t xml:space="preserve">рыночной стоимости испрашиваемого земельного участка (земельных участков), определенной в соответствии с законодательством об оценочной стоимости  </w:t>
      </w:r>
      <w:r>
        <w:rPr>
          <w:highlight w:val="none"/>
        </w:rPr>
        <w:t xml:space="preserve">- в отношении проектов, критери</w:t>
      </w:r>
      <w:r>
        <w:rPr>
          <w:highlight w:val="none"/>
        </w:rPr>
        <w:t xml:space="preserve">й</w:t>
      </w:r>
      <w:r>
        <w:rPr>
          <w:highlight w:val="none"/>
        </w:rPr>
        <w:t xml:space="preserve"> для которых установлен пунктом 2.3 части 1 статьи 1 Закона Новосибирской области;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567"/>
        <w:jc w:val="both"/>
        <w:rPr>
          <w:highlight w:val="none"/>
          <w14:ligatures w14:val="none"/>
        </w:rPr>
      </w:pPr>
      <w:r>
        <w:rPr>
          <w:highlight w:val="none"/>
        </w:rPr>
        <w:t xml:space="preserve">8</w:t>
      </w:r>
      <w:r>
        <w:rPr>
          <w:highlight w:val="none"/>
        </w:rPr>
        <w:t xml:space="preserve">) </w:t>
      </w:r>
      <w:r>
        <w:rPr>
          <w:highlight w:val="none"/>
        </w:rPr>
        <w:t xml:space="preserve">стоимость передаваемых инициатором проекта жилых помещений</w:t>
      </w:r>
      <w:r>
        <w:rPr>
          <w:highlight w:val="none"/>
        </w:rPr>
        <w:t xml:space="preserve">, рассчитываемая исходя из средней цены </w:t>
      </w:r>
      <w:r>
        <w:rPr>
          <w:highlight w:val="none"/>
        </w:rPr>
        <w:t xml:space="preserve">н</w:t>
      </w:r>
      <w:r>
        <w:rPr>
          <w:highlight w:val="none"/>
        </w:rPr>
        <w:t xml:space="preserve">а первичном рынке жилья среднего качества (типового) по Новосибирской области, публикуемая на официальном сайте территориального органа Федеральной службы государственной статистики по Новосибирской области, на момент предоставления ходатайства менее </w:t>
      </w:r>
      <w:r>
        <w:rPr>
          <w:highlight w:val="none"/>
        </w:rPr>
        <w:t xml:space="preserve">90 % </w:t>
      </w:r>
      <w:r>
        <w:rPr>
          <w:highlight w:val="none"/>
        </w:rPr>
        <w:t xml:space="preserve">стоимос</w:t>
      </w:r>
      <w:r>
        <w:rPr>
          <w:highlight w:val="none"/>
        </w:rPr>
        <w:t xml:space="preserve">ти испрашиваемого земельного участка, которая определяется в соответствии с законодательством об оценочной деятельности, - в отношении проектов, критерии для которых установлены пунктами </w:t>
      </w:r>
      <w:r>
        <w:rPr>
          <w:highlight w:val="none"/>
        </w:rPr>
        <w:t xml:space="preserve">1, </w:t>
      </w:r>
      <w:r>
        <w:rPr>
          <w:highlight w:val="none"/>
        </w:rPr>
        <w:t xml:space="preserve">2.1</w:t>
      </w:r>
      <w:r>
        <w:rPr>
          <w:highlight w:val="none"/>
        </w:rPr>
        <w:t xml:space="preserve">, 2.4 части 1 статьи 1 Закона Новосибирской области</w:t>
      </w:r>
      <w:r>
        <w:rPr>
          <w:highlight w:val="none"/>
        </w:rPr>
        <w:t xml:space="preserve">.»</w:t>
      </w:r>
      <w:r>
        <w:rPr>
          <w:highlight w:val="none"/>
          <w14:ligatures w14:val="none"/>
        </w:rPr>
        <w:t xml:space="preserve">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567"/>
        <w:jc w:val="both"/>
        <w:rPr>
          <w:highlight w:val="none"/>
          <w14:ligatures w14:val="none"/>
        </w:rPr>
      </w:pPr>
      <w:r>
        <w:rPr>
          <w:highlight w:val="none"/>
          <w14:ligatures w14:val="none"/>
        </w:rPr>
        <w:t xml:space="preserve">2. Пункт 16 дополнить подпунктами </w:t>
      </w:r>
      <w:r>
        <w:rPr>
          <w:highlight w:val="none"/>
          <w14:ligatures w14:val="none"/>
        </w:rPr>
        <w:t xml:space="preserve">4-6 </w:t>
      </w:r>
      <w:r>
        <w:rPr>
          <w:highlight w:val="none"/>
          <w14:ligatures w14:val="none"/>
        </w:rPr>
        <w:t xml:space="preserve">следующего содержания: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567"/>
        <w:jc w:val="both"/>
        <w:rPr>
          <w:highlight w:val="none"/>
          <w14:ligatures w14:val="none"/>
        </w:rPr>
      </w:pPr>
      <w:r>
        <w:rPr>
          <w:highlight w:val="none"/>
        </w:rPr>
        <w:t xml:space="preserve">«</w:t>
      </w:r>
      <w:r>
        <w:rPr>
          <w:highlight w:val="none"/>
        </w:rPr>
        <w:t xml:space="preserve">4</w:t>
      </w:r>
      <w:r>
        <w:rPr>
          <w:highlight w:val="none"/>
        </w:rPr>
        <w:t xml:space="preserve">)</w:t>
      </w:r>
      <w:r>
        <w:rPr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 невозможности реализации проекта</w:t>
      </w:r>
      <w:r>
        <w:rPr>
          <w:sz w:val="28"/>
          <w:szCs w:val="28"/>
          <w:highlight w:val="none"/>
        </w:rPr>
        <w:t xml:space="preserve"> в связи с тем</w:t>
      </w:r>
      <w:r>
        <w:rPr>
          <w:sz w:val="28"/>
          <w:szCs w:val="28"/>
          <w:highlight w:val="none"/>
        </w:rPr>
        <w:t xml:space="preserve">, что</w:t>
      </w:r>
      <w:r>
        <w:rPr>
          <w:highlight w:val="none"/>
        </w:rPr>
        <w:t xml:space="preserve"> размер денежных средств, подлежащих внесению на завершение строительства многоквартирного дома, застройщик которого не исполнил свои обязательства по передаче жилых помещений гражданам, вложившим денежные средства в строительство многоквартирных домов, и</w:t>
      </w:r>
      <w:r>
        <w:rPr>
          <w:highlight w:val="none"/>
        </w:rPr>
        <w:t xml:space="preserve"> с</w:t>
      </w:r>
      <w:r>
        <w:rPr>
          <w:highlight w:val="none"/>
        </w:rPr>
        <w:t xml:space="preserve">тоимость передаваемых инициатором проекта жилых помещений гражданам, пострадавшим от действий застройщиков (за вычетом размера денежных средств, оплачиваемых гражданином дополнительно за передаваемое жилое помещение), рассчитываемая исходя из средней цены </w:t>
      </w:r>
      <w:r>
        <w:rPr>
          <w:highlight w:val="none"/>
        </w:rPr>
        <w:t xml:space="preserve">на первичном рынке жилья среднего качества (типового) по </w:t>
      </w:r>
      <w:r>
        <w:rPr>
          <w:highlight w:val="none"/>
        </w:rPr>
        <w:t xml:space="preserve">Новосибирской области</w:t>
      </w:r>
      <w:r>
        <w:rPr>
          <w:highlight w:val="none"/>
        </w:rPr>
        <w:t xml:space="preserve">, публикуемая на официальном сайте территориального органа Федеральной службы государственной статистики по Новосибирской области, на момент предоставления ходатайства менее</w:t>
      </w:r>
      <w:r>
        <w:rPr>
          <w:highlight w:val="none"/>
        </w:rPr>
        <w:t xml:space="preserve"> 90 %</w:t>
      </w:r>
      <w:r>
        <w:rPr>
          <w:highlight w:val="none"/>
        </w:rPr>
        <w:t xml:space="preserve"> стоимос</w:t>
      </w:r>
      <w:r>
        <w:rPr>
          <w:highlight w:val="none"/>
        </w:rPr>
        <w:t xml:space="preserve">ти испрашиваемого земельного участка</w:t>
      </w:r>
      <w:r>
        <w:rPr>
          <w:highlight w:val="none"/>
        </w:rPr>
        <w:t xml:space="preserve"> </w:t>
      </w:r>
      <w:r>
        <w:rPr>
          <w:highlight w:val="none"/>
        </w:rPr>
        <w:t xml:space="preserve">(земельных участков)</w:t>
      </w:r>
      <w:r>
        <w:rPr>
          <w:highlight w:val="none"/>
        </w:rPr>
        <w:t xml:space="preserve">, которая определяется в соответствии с законодательством об оценочной деятельности, - в отношении проектов, критери</w:t>
      </w:r>
      <w:r>
        <w:rPr>
          <w:highlight w:val="none"/>
        </w:rPr>
        <w:t xml:space="preserve">й</w:t>
      </w:r>
      <w:r>
        <w:rPr>
          <w:highlight w:val="none"/>
        </w:rPr>
        <w:t xml:space="preserve"> для которых установлен пунктом 2 части 1 статьи 1 Закона Новосибирской области;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567"/>
        <w:jc w:val="both"/>
        <w:rPr>
          <w:highlight w:val="none"/>
          <w14:ligatures w14:val="none"/>
        </w:rPr>
      </w:pPr>
      <w:r>
        <w:rPr>
          <w:highlight w:val="none"/>
        </w:rPr>
        <w:t xml:space="preserve">5</w:t>
      </w:r>
      <w:r>
        <w:rPr>
          <w:highlight w:val="none"/>
        </w:rPr>
        <w:t xml:space="preserve">) </w:t>
      </w:r>
      <w:r>
        <w:rPr>
          <w:sz w:val="28"/>
          <w:szCs w:val="28"/>
          <w:highlight w:val="none"/>
        </w:rPr>
        <w:t xml:space="preserve">о невозможности реализации проекта</w:t>
      </w:r>
      <w:r>
        <w:rPr>
          <w:sz w:val="28"/>
          <w:szCs w:val="28"/>
          <w:highlight w:val="none"/>
        </w:rPr>
        <w:t xml:space="preserve"> в связи с тем</w:t>
      </w:r>
      <w:r>
        <w:rPr>
          <w:sz w:val="28"/>
          <w:szCs w:val="28"/>
          <w:highlight w:val="none"/>
        </w:rPr>
        <w:t xml:space="preserve">, что</w:t>
      </w:r>
      <w:r>
        <w:rPr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 денежных средств, подлежащих вложению на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(реконструкци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) объекта капитального строительства для нужд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none"/>
        </w:rPr>
        <w:t xml:space="preserve">и</w:t>
      </w:r>
      <w:r>
        <w:rPr>
          <w:highlight w:val="none"/>
        </w:rPr>
        <w:t xml:space="preserve"> стоимость передаваемых инициатором проекта жилых помещений</w:t>
      </w:r>
      <w:r>
        <w:rPr>
          <w:highlight w:val="none"/>
        </w:rPr>
        <w:t xml:space="preserve">,</w:t>
      </w:r>
      <w:r>
        <w:rPr>
          <w:highlight w:val="none"/>
        </w:rPr>
        <w:t xml:space="preserve"> </w:t>
      </w:r>
      <w:r>
        <w:rPr>
          <w:highlight w:val="none"/>
        </w:rPr>
        <w:t xml:space="preserve">рассчитываемая исходя из средней цены </w:t>
      </w:r>
      <w:r>
        <w:rPr>
          <w:highlight w:val="none"/>
        </w:rPr>
        <w:t xml:space="preserve">н</w:t>
      </w:r>
      <w:r>
        <w:rPr>
          <w:highlight w:val="none"/>
        </w:rPr>
        <w:t xml:space="preserve">а первичном рынке жилья среднего качества (типового) по Новосибирской области, публикуемая на официальном сайте территориального органа Федеральной службы государственной статистики по Новосибирской области, на момент предоставления ходатайства, </w:t>
      </w:r>
      <w:r>
        <w:rPr>
          <w:rFonts w:ascii="Times New Roman" w:hAnsi="Times New Roman" w:cs="Times New Roman"/>
          <w:sz w:val="28"/>
          <w:szCs w:val="28"/>
        </w:rPr>
        <w:t xml:space="preserve"> менее </w:t>
      </w:r>
      <w:r>
        <w:rPr>
          <w:rFonts w:ascii="Times New Roman" w:hAnsi="Times New Roman" w:cs="Times New Roman"/>
          <w:sz w:val="28"/>
          <w:szCs w:val="28"/>
        </w:rPr>
        <w:t xml:space="preserve">90 % </w:t>
      </w:r>
      <w:r>
        <w:rPr>
          <w:rFonts w:ascii="Times New Roman" w:hAnsi="Times New Roman" w:cs="Times New Roman"/>
          <w:sz w:val="28"/>
          <w:szCs w:val="28"/>
        </w:rPr>
        <w:t xml:space="preserve">рыночной стоимости испрашиваемого земельного участка (земельных участков), определенной в соответствии с законодательством об оценочной стоимости  </w:t>
      </w:r>
      <w:r>
        <w:rPr>
          <w:highlight w:val="none"/>
        </w:rPr>
        <w:t xml:space="preserve">- в отношении проектов, критери</w:t>
      </w:r>
      <w:r>
        <w:rPr>
          <w:highlight w:val="none"/>
        </w:rPr>
        <w:t xml:space="preserve">й</w:t>
      </w:r>
      <w:r>
        <w:rPr>
          <w:highlight w:val="none"/>
        </w:rPr>
        <w:t xml:space="preserve"> для которых установлен пунктом 2.3 части 1 статьи 1 Закона Новосибирской области;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left="0" w:right="0" w:firstLine="567"/>
        <w:jc w:val="both"/>
        <w:rPr>
          <w:highlight w:val="none"/>
          <w14:ligatures w14:val="none"/>
        </w:rPr>
      </w:pPr>
      <w:r>
        <w:rPr>
          <w:highlight w:val="none"/>
        </w:rPr>
        <w:t xml:space="preserve">6</w:t>
      </w:r>
      <w:r>
        <w:rPr>
          <w:highlight w:val="none"/>
        </w:rPr>
        <w:t xml:space="preserve">) </w:t>
      </w:r>
      <w:r>
        <w:rPr>
          <w:sz w:val="28"/>
          <w:szCs w:val="28"/>
          <w:highlight w:val="none"/>
        </w:rPr>
        <w:t xml:space="preserve">о невозможности реализации проекта</w:t>
      </w:r>
      <w:r>
        <w:rPr>
          <w:sz w:val="28"/>
          <w:szCs w:val="28"/>
          <w:highlight w:val="none"/>
        </w:rPr>
        <w:t xml:space="preserve"> в связи с тем</w:t>
      </w:r>
      <w:r>
        <w:rPr>
          <w:sz w:val="28"/>
          <w:szCs w:val="28"/>
          <w:highlight w:val="none"/>
        </w:rPr>
        <w:t xml:space="preserve">, что</w:t>
      </w:r>
      <w:r>
        <w:rPr>
          <w:highlight w:val="none"/>
        </w:rPr>
        <w:t xml:space="preserve"> </w:t>
      </w:r>
      <w:r>
        <w:rPr>
          <w:highlight w:val="none"/>
        </w:rPr>
        <w:t xml:space="preserve">стоимость передаваемых инициатором проекта жилых помещений</w:t>
      </w:r>
      <w:r>
        <w:rPr>
          <w:highlight w:val="none"/>
        </w:rPr>
        <w:t xml:space="preserve">, рассчитываемая исходя из средней цены </w:t>
      </w:r>
      <w:r>
        <w:rPr>
          <w:highlight w:val="none"/>
        </w:rPr>
        <w:t xml:space="preserve">н</w:t>
      </w:r>
      <w:r>
        <w:rPr>
          <w:highlight w:val="none"/>
        </w:rPr>
        <w:t xml:space="preserve">а первичном рынке жилья среднего качества (типового) по Новосибирской области, публикуемая на официальном сайте территориального органа Федеральной службы государственной статистики по Новосибирской области, на момент предоставления ходатайства менее </w:t>
      </w:r>
      <w:r>
        <w:rPr>
          <w:highlight w:val="none"/>
        </w:rPr>
        <w:t xml:space="preserve">90 % </w:t>
      </w:r>
      <w:r>
        <w:rPr>
          <w:highlight w:val="none"/>
        </w:rPr>
        <w:t xml:space="preserve">стоимос</w:t>
      </w:r>
      <w:r>
        <w:rPr>
          <w:highlight w:val="none"/>
        </w:rPr>
        <w:t xml:space="preserve">ти испрашиваемого земельного участка, которая определяется в соответствии с законодательством об оценочной деятельности, - в отношении проектов, критерии для которых установлены пунктами </w:t>
      </w:r>
      <w:r>
        <w:rPr>
          <w:highlight w:val="none"/>
        </w:rPr>
        <w:t xml:space="preserve">1, </w:t>
      </w:r>
      <w:r>
        <w:rPr>
          <w:highlight w:val="none"/>
        </w:rPr>
        <w:t xml:space="preserve">2.1</w:t>
      </w:r>
      <w:r>
        <w:rPr>
          <w:highlight w:val="none"/>
        </w:rPr>
        <w:t xml:space="preserve">, 2.4 части 1 статьи 1 Закона Новосибирской области</w:t>
      </w:r>
      <w:r>
        <w:rPr>
          <w:highlight w:val="none"/>
        </w:rPr>
        <w:t xml:space="preserve">.</w:t>
      </w:r>
      <w:r>
        <w:rPr>
          <w:highlight w:val="none"/>
          <w14:ligatures w14:val="none"/>
        </w:rPr>
        <w:t xml:space="preserve">».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567"/>
        <w:jc w:val="both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567"/>
        <w:jc w:val="both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567"/>
        <w:jc w:val="both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left="0" w:right="0" w:firstLine="0"/>
        <w:jc w:val="both"/>
        <w:rPr>
          <w:highlight w:val="none"/>
          <w14:ligatures w14:val="none"/>
        </w:rPr>
      </w:pPr>
      <w:r>
        <w:rPr>
          <w:highlight w:val="none"/>
        </w:rPr>
      </w:r>
      <w:r>
        <w:rPr>
          <w:szCs w:val="28"/>
          <w:lang w:eastAsia="en-US"/>
        </w:rPr>
        <w:t xml:space="preserve">Губернатор Новосибирской области                                    </w:t>
      </w:r>
      <w:r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 xml:space="preserve">               </w:t>
      </w:r>
      <w:r>
        <w:rPr>
          <w:szCs w:val="28"/>
          <w:lang w:eastAsia="en-US"/>
        </w:rPr>
        <w:t xml:space="preserve">А.А. Травников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946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6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6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6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6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6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6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6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6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6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jc w:val="both"/>
        <w:rPr>
          <w:sz w:val="20"/>
          <w:szCs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jc w:val="both"/>
        <w:rPr>
          <w:sz w:val="20"/>
          <w:szCs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jc w:val="both"/>
        <w:rPr>
          <w:sz w:val="20"/>
          <w:szCs w:val="20"/>
          <w:lang w:eastAsia="en-US"/>
        </w:rPr>
        <w:sectPr>
          <w:headerReference w:type="default" r:id="rId9"/>
          <w:headerReference w:type="even" r:id="rId10"/>
          <w:headerReference w:type="first" r:id="rId11"/>
          <w:footerReference w:type="first" r:id="rId15"/>
          <w:footnotePr/>
          <w:endnotePr/>
          <w:type w:val="nextPage"/>
          <w:pgSz w:w="11907" w:h="16840" w:orient="portrait"/>
          <w:pgMar w:top="1418" w:right="567" w:bottom="1276" w:left="1418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sz w:val="20"/>
          <w:lang w:eastAsia="en-US"/>
        </w:rPr>
        <w:t xml:space="preserve"> </w:t>
      </w:r>
      <w:r>
        <w:rPr>
          <w:sz w:val="20"/>
          <w:szCs w:val="20"/>
          <w:lang w:eastAsia="en-US"/>
        </w:rPr>
      </w:r>
      <w:r>
        <w:rPr>
          <w:sz w:val="20"/>
          <w:lang w:eastAsia="en-US"/>
        </w:rPr>
      </w:r>
    </w:p>
    <w:p>
      <w:pPr>
        <w:jc w:val="both"/>
        <w:tabs>
          <w:tab w:val="left" w:pos="9210" w:leader="none"/>
        </w:tabs>
        <w:rPr>
          <w:sz w:val="20"/>
          <w:szCs w:val="20"/>
          <w:highlight w:val="none"/>
        </w:rPr>
      </w:pPr>
      <w:r>
        <w:rPr>
          <w:sz w:val="20"/>
          <w:lang w:eastAsia="en-US"/>
        </w:rPr>
        <w:t xml:space="preserve"> </w:t>
      </w:r>
      <w:r>
        <w:rPr>
          <w:sz w:val="20"/>
          <w:szCs w:val="20"/>
          <w:lang w:eastAsia="en-US"/>
        </w:rPr>
      </w:r>
      <w:r>
        <w:rPr>
          <w:sz w:val="20"/>
          <w:szCs w:val="20"/>
          <w:highlight w:val="none"/>
          <w:lang w:eastAsia="en-US"/>
        </w:rPr>
      </w:r>
    </w:p>
    <w:sectPr>
      <w:headerReference w:type="default" r:id="rId12"/>
      <w:headerReference w:type="even" r:id="rId13"/>
      <w:headerReference w:type="first" r:id="rId14"/>
      <w:footerReference w:type="first" r:id="rId16"/>
      <w:footnotePr/>
      <w:endnotePr/>
      <w:type w:val="continuous"/>
      <w:pgSz w:w="11907" w:h="16840" w:orient="portrait"/>
      <w:pgMar w:top="1418" w:right="567" w:bottom="1276" w:left="1418" w:header="720" w:footer="33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rPr>
        <w:sz w:val="20"/>
      </w:rPr>
    </w:pPr>
    <w:r>
      <w:rPr>
        <w:sz w:val="20"/>
      </w:rPr>
      <w:t xml:space="preserve"> </w:t>
    </w:r>
    <w:r>
      <w:rPr>
        <w:sz w:val="20"/>
      </w:rPr>
    </w:r>
    <w:r>
      <w:rPr>
        <w:sz w:val="20"/>
      </w:rPr>
    </w:r>
  </w:p>
  <w:p>
    <w:pPr>
      <w:pStyle w:val="968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rPr>
        <w:sz w:val="20"/>
      </w:rPr>
    </w:pPr>
    <w:r>
      <w:rPr>
        <w:sz w:val="20"/>
      </w:rPr>
      <w:t xml:space="preserve"> </w:t>
    </w:r>
    <w:r>
      <w:rPr>
        <w:sz w:val="20"/>
      </w:rPr>
    </w:r>
    <w:r>
      <w:rPr>
        <w:sz w:val="20"/>
      </w:rPr>
    </w:r>
  </w:p>
  <w:p>
    <w:pPr>
      <w:pStyle w:val="968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  <w:jc w:val="center"/>
    </w:pPr>
    <w:r>
      <w:t xml:space="preserve">3</w:t>
    </w:r>
    <w:r/>
  </w:p>
  <w:p>
    <w:pPr>
      <w:pStyle w:val="96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  <w:tabs>
        <w:tab w:val="clear" w:pos="4677" w:leader="none"/>
        <w:tab w:val="left" w:pos="6097" w:leader="none"/>
        <w:tab w:val="clear" w:pos="9355" w:leader="none"/>
      </w:tabs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66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  <w:jc w:val="center"/>
    </w:pPr>
    <w:r>
      <w:t xml:space="preserve">3</w:t>
    </w:r>
    <w:r/>
  </w:p>
  <w:p>
    <w:pPr>
      <w:pStyle w:val="966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  <w:tabs>
        <w:tab w:val="clear" w:pos="4677" w:leader="none"/>
        <w:tab w:val="left" w:pos="6097" w:leader="none"/>
        <w:tab w:val="clear" w:pos="9355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260" w:hanging="360"/>
      </w:pPr>
      <w:rPr>
        <w:rFonts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720"/>
        <w:tabs>
          <w:tab w:val="num" w:pos="1146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1506" w:hanging="360"/>
        <w:tabs>
          <w:tab w:val="num" w:pos="150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  <w:tabs>
          <w:tab w:val="num" w:pos="222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  <w:tabs>
          <w:tab w:val="num" w:pos="294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  <w:tabs>
          <w:tab w:val="num" w:pos="366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  <w:tabs>
          <w:tab w:val="num" w:pos="438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  <w:tabs>
          <w:tab w:val="num" w:pos="510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  <w:tabs>
          <w:tab w:val="num" w:pos="582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  <w:tabs>
          <w:tab w:val="num" w:pos="6546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4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22"/>
  </w:num>
  <w:num w:numId="2">
    <w:abstractNumId w:val="2"/>
  </w:num>
  <w:num w:numId="3">
    <w:abstractNumId w:val="14"/>
  </w:num>
  <w:num w:numId="4">
    <w:abstractNumId w:val="17"/>
  </w:num>
  <w:num w:numId="5">
    <w:abstractNumId w:val="13"/>
  </w:num>
  <w:num w:numId="6">
    <w:abstractNumId w:val="10"/>
  </w:num>
  <w:num w:numId="7">
    <w:abstractNumId w:val="16"/>
  </w:num>
  <w:num w:numId="8">
    <w:abstractNumId w:val="21"/>
  </w:num>
  <w:num w:numId="9">
    <w:abstractNumId w:val="4"/>
  </w:num>
  <w:num w:numId="10">
    <w:abstractNumId w:val="9"/>
  </w:num>
  <w:num w:numId="11">
    <w:abstractNumId w:val="20"/>
  </w:num>
  <w:num w:numId="12">
    <w:abstractNumId w:val="3"/>
  </w:num>
  <w:num w:numId="13">
    <w:abstractNumId w:val="1"/>
  </w:num>
  <w:num w:numId="14">
    <w:abstractNumId w:val="23"/>
  </w:num>
  <w:num w:numId="15">
    <w:abstractNumId w:val="8"/>
  </w:num>
  <w:num w:numId="16">
    <w:abstractNumId w:val="12"/>
  </w:num>
  <w:num w:numId="17">
    <w:abstractNumId w:val="5"/>
  </w:num>
  <w:num w:numId="18">
    <w:abstractNumId w:val="6"/>
  </w:num>
  <w:num w:numId="19">
    <w:abstractNumId w:val="0"/>
  </w:num>
  <w:num w:numId="20">
    <w:abstractNumId w:val="19"/>
  </w:num>
  <w:num w:numId="21">
    <w:abstractNumId w:val="11"/>
  </w:num>
  <w:num w:numId="22">
    <w:abstractNumId w:val="7"/>
  </w:num>
  <w:num w:numId="23">
    <w:abstractNumId w:val="15"/>
  </w:num>
  <w:num w:numId="24">
    <w:abstractNumId w:val="18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8">
    <w:name w:val="Heading 1"/>
    <w:basedOn w:val="946"/>
    <w:next w:val="946"/>
    <w:link w:val="7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9">
    <w:name w:val="Heading 1 Char"/>
    <w:link w:val="768"/>
    <w:uiPriority w:val="9"/>
    <w:rPr>
      <w:rFonts w:ascii="Arial" w:hAnsi="Arial" w:eastAsia="Arial" w:cs="Arial"/>
      <w:sz w:val="40"/>
      <w:szCs w:val="40"/>
    </w:rPr>
  </w:style>
  <w:style w:type="paragraph" w:styleId="770">
    <w:name w:val="Heading 2"/>
    <w:basedOn w:val="946"/>
    <w:next w:val="946"/>
    <w:link w:val="7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1">
    <w:name w:val="Heading 2 Char"/>
    <w:link w:val="770"/>
    <w:uiPriority w:val="9"/>
    <w:rPr>
      <w:rFonts w:ascii="Arial" w:hAnsi="Arial" w:eastAsia="Arial" w:cs="Arial"/>
      <w:sz w:val="34"/>
    </w:rPr>
  </w:style>
  <w:style w:type="paragraph" w:styleId="772">
    <w:name w:val="Heading 3"/>
    <w:basedOn w:val="946"/>
    <w:next w:val="946"/>
    <w:link w:val="7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3">
    <w:name w:val="Heading 3 Char"/>
    <w:link w:val="772"/>
    <w:uiPriority w:val="9"/>
    <w:rPr>
      <w:rFonts w:ascii="Arial" w:hAnsi="Arial" w:eastAsia="Arial" w:cs="Arial"/>
      <w:sz w:val="30"/>
      <w:szCs w:val="30"/>
    </w:rPr>
  </w:style>
  <w:style w:type="paragraph" w:styleId="774">
    <w:name w:val="Heading 4"/>
    <w:basedOn w:val="946"/>
    <w:next w:val="946"/>
    <w:link w:val="7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5">
    <w:name w:val="Heading 4 Char"/>
    <w:link w:val="774"/>
    <w:uiPriority w:val="9"/>
    <w:rPr>
      <w:rFonts w:ascii="Arial" w:hAnsi="Arial" w:eastAsia="Arial" w:cs="Arial"/>
      <w:b/>
      <w:bCs/>
      <w:sz w:val="26"/>
      <w:szCs w:val="26"/>
    </w:rPr>
  </w:style>
  <w:style w:type="paragraph" w:styleId="776">
    <w:name w:val="Heading 5"/>
    <w:basedOn w:val="946"/>
    <w:next w:val="946"/>
    <w:link w:val="7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7">
    <w:name w:val="Heading 5 Char"/>
    <w:link w:val="776"/>
    <w:uiPriority w:val="9"/>
    <w:rPr>
      <w:rFonts w:ascii="Arial" w:hAnsi="Arial" w:eastAsia="Arial" w:cs="Arial"/>
      <w:b/>
      <w:bCs/>
      <w:sz w:val="24"/>
      <w:szCs w:val="24"/>
    </w:rPr>
  </w:style>
  <w:style w:type="paragraph" w:styleId="778">
    <w:name w:val="Heading 6"/>
    <w:basedOn w:val="946"/>
    <w:next w:val="946"/>
    <w:link w:val="7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9">
    <w:name w:val="Heading 6 Char"/>
    <w:link w:val="778"/>
    <w:uiPriority w:val="9"/>
    <w:rPr>
      <w:rFonts w:ascii="Arial" w:hAnsi="Arial" w:eastAsia="Arial" w:cs="Arial"/>
      <w:b/>
      <w:bCs/>
      <w:sz w:val="22"/>
      <w:szCs w:val="22"/>
    </w:rPr>
  </w:style>
  <w:style w:type="paragraph" w:styleId="780">
    <w:name w:val="Heading 7"/>
    <w:basedOn w:val="946"/>
    <w:next w:val="946"/>
    <w:link w:val="7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1">
    <w:name w:val="Heading 7 Char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2">
    <w:name w:val="Heading 8"/>
    <w:basedOn w:val="946"/>
    <w:next w:val="946"/>
    <w:link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3">
    <w:name w:val="Heading 8 Char"/>
    <w:link w:val="782"/>
    <w:uiPriority w:val="9"/>
    <w:rPr>
      <w:rFonts w:ascii="Arial" w:hAnsi="Arial" w:eastAsia="Arial" w:cs="Arial"/>
      <w:i/>
      <w:iCs/>
      <w:sz w:val="22"/>
      <w:szCs w:val="22"/>
    </w:rPr>
  </w:style>
  <w:style w:type="paragraph" w:styleId="784">
    <w:name w:val="Heading 9"/>
    <w:basedOn w:val="946"/>
    <w:next w:val="946"/>
    <w:link w:val="7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5">
    <w:name w:val="Heading 9 Char"/>
    <w:link w:val="784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List Paragraph"/>
    <w:basedOn w:val="946"/>
    <w:uiPriority w:val="34"/>
    <w:qFormat/>
    <w:pPr>
      <w:contextualSpacing/>
      <w:ind w:left="720"/>
    </w:pPr>
  </w:style>
  <w:style w:type="paragraph" w:styleId="787">
    <w:name w:val="No Spacing"/>
    <w:uiPriority w:val="1"/>
    <w:qFormat/>
    <w:pPr>
      <w:spacing w:before="0" w:after="0" w:line="240" w:lineRule="auto"/>
    </w:pPr>
  </w:style>
  <w:style w:type="paragraph" w:styleId="788">
    <w:name w:val="Title"/>
    <w:basedOn w:val="946"/>
    <w:next w:val="946"/>
    <w:link w:val="7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9">
    <w:name w:val="Title Char"/>
    <w:link w:val="788"/>
    <w:uiPriority w:val="10"/>
    <w:rPr>
      <w:sz w:val="48"/>
      <w:szCs w:val="48"/>
    </w:rPr>
  </w:style>
  <w:style w:type="paragraph" w:styleId="790">
    <w:name w:val="Subtitle"/>
    <w:basedOn w:val="946"/>
    <w:next w:val="946"/>
    <w:link w:val="791"/>
    <w:uiPriority w:val="11"/>
    <w:qFormat/>
    <w:pPr>
      <w:spacing w:before="200" w:after="200"/>
    </w:pPr>
    <w:rPr>
      <w:sz w:val="24"/>
      <w:szCs w:val="24"/>
    </w:rPr>
  </w:style>
  <w:style w:type="character" w:styleId="791">
    <w:name w:val="Subtitle Char"/>
    <w:link w:val="790"/>
    <w:uiPriority w:val="11"/>
    <w:rPr>
      <w:sz w:val="24"/>
      <w:szCs w:val="24"/>
    </w:rPr>
  </w:style>
  <w:style w:type="paragraph" w:styleId="792">
    <w:name w:val="Quote"/>
    <w:basedOn w:val="946"/>
    <w:next w:val="946"/>
    <w:link w:val="793"/>
    <w:uiPriority w:val="29"/>
    <w:qFormat/>
    <w:pPr>
      <w:ind w:left="720" w:right="720"/>
    </w:pPr>
    <w:rPr>
      <w:i/>
    </w:rPr>
  </w:style>
  <w:style w:type="character" w:styleId="793">
    <w:name w:val="Quote Char"/>
    <w:link w:val="792"/>
    <w:uiPriority w:val="29"/>
    <w:rPr>
      <w:i/>
    </w:rPr>
  </w:style>
  <w:style w:type="paragraph" w:styleId="794">
    <w:name w:val="Intense Quote"/>
    <w:basedOn w:val="946"/>
    <w:next w:val="946"/>
    <w:link w:val="7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5">
    <w:name w:val="Intense Quote Char"/>
    <w:link w:val="794"/>
    <w:uiPriority w:val="30"/>
    <w:rPr>
      <w:i/>
    </w:rPr>
  </w:style>
  <w:style w:type="paragraph" w:styleId="796">
    <w:name w:val="Header"/>
    <w:basedOn w:val="946"/>
    <w:link w:val="7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7">
    <w:name w:val="Header Char"/>
    <w:link w:val="796"/>
    <w:uiPriority w:val="99"/>
  </w:style>
  <w:style w:type="paragraph" w:styleId="798">
    <w:name w:val="Footer"/>
    <w:basedOn w:val="946"/>
    <w:link w:val="8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9">
    <w:name w:val="Footer Char"/>
    <w:link w:val="798"/>
    <w:uiPriority w:val="99"/>
  </w:style>
  <w:style w:type="paragraph" w:styleId="800">
    <w:name w:val="Caption"/>
    <w:basedOn w:val="946"/>
    <w:next w:val="9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1">
    <w:name w:val="Caption Char"/>
    <w:basedOn w:val="800"/>
    <w:link w:val="798"/>
    <w:uiPriority w:val="99"/>
  </w:style>
  <w:style w:type="table" w:styleId="80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8">
    <w:name w:val="Hyperlink"/>
    <w:uiPriority w:val="99"/>
    <w:unhideWhenUsed/>
    <w:rPr>
      <w:color w:val="0000ff" w:themeColor="hyperlink"/>
      <w:u w:val="single"/>
    </w:rPr>
  </w:style>
  <w:style w:type="paragraph" w:styleId="929">
    <w:name w:val="footnote text"/>
    <w:basedOn w:val="946"/>
    <w:link w:val="930"/>
    <w:uiPriority w:val="99"/>
    <w:semiHidden/>
    <w:unhideWhenUsed/>
    <w:pPr>
      <w:spacing w:after="40" w:line="240" w:lineRule="auto"/>
    </w:pPr>
    <w:rPr>
      <w:sz w:val="18"/>
    </w:rPr>
  </w:style>
  <w:style w:type="character" w:styleId="930">
    <w:name w:val="Footnote Text Char"/>
    <w:link w:val="929"/>
    <w:uiPriority w:val="99"/>
    <w:rPr>
      <w:sz w:val="18"/>
    </w:rPr>
  </w:style>
  <w:style w:type="character" w:styleId="931">
    <w:name w:val="footnote reference"/>
    <w:uiPriority w:val="99"/>
    <w:unhideWhenUsed/>
    <w:rPr>
      <w:vertAlign w:val="superscript"/>
    </w:rPr>
  </w:style>
  <w:style w:type="paragraph" w:styleId="932">
    <w:name w:val="endnote text"/>
    <w:basedOn w:val="946"/>
    <w:link w:val="933"/>
    <w:uiPriority w:val="99"/>
    <w:semiHidden/>
    <w:unhideWhenUsed/>
    <w:pPr>
      <w:spacing w:after="0" w:line="240" w:lineRule="auto"/>
    </w:pPr>
    <w:rPr>
      <w:sz w:val="20"/>
    </w:rPr>
  </w:style>
  <w:style w:type="character" w:styleId="933">
    <w:name w:val="Endnote Text Char"/>
    <w:link w:val="932"/>
    <w:uiPriority w:val="99"/>
    <w:rPr>
      <w:sz w:val="20"/>
    </w:rPr>
  </w:style>
  <w:style w:type="character" w:styleId="934">
    <w:name w:val="endnote reference"/>
    <w:uiPriority w:val="99"/>
    <w:semiHidden/>
    <w:unhideWhenUsed/>
    <w:rPr>
      <w:vertAlign w:val="superscript"/>
    </w:rPr>
  </w:style>
  <w:style w:type="paragraph" w:styleId="935">
    <w:name w:val="toc 1"/>
    <w:basedOn w:val="946"/>
    <w:next w:val="946"/>
    <w:uiPriority w:val="39"/>
    <w:unhideWhenUsed/>
    <w:pPr>
      <w:ind w:left="0" w:right="0" w:firstLine="0"/>
      <w:spacing w:after="57"/>
    </w:pPr>
  </w:style>
  <w:style w:type="paragraph" w:styleId="936">
    <w:name w:val="toc 2"/>
    <w:basedOn w:val="946"/>
    <w:next w:val="946"/>
    <w:uiPriority w:val="39"/>
    <w:unhideWhenUsed/>
    <w:pPr>
      <w:ind w:left="283" w:right="0" w:firstLine="0"/>
      <w:spacing w:after="57"/>
    </w:pPr>
  </w:style>
  <w:style w:type="paragraph" w:styleId="937">
    <w:name w:val="toc 3"/>
    <w:basedOn w:val="946"/>
    <w:next w:val="946"/>
    <w:uiPriority w:val="39"/>
    <w:unhideWhenUsed/>
    <w:pPr>
      <w:ind w:left="567" w:right="0" w:firstLine="0"/>
      <w:spacing w:after="57"/>
    </w:pPr>
  </w:style>
  <w:style w:type="paragraph" w:styleId="938">
    <w:name w:val="toc 4"/>
    <w:basedOn w:val="946"/>
    <w:next w:val="946"/>
    <w:uiPriority w:val="39"/>
    <w:unhideWhenUsed/>
    <w:pPr>
      <w:ind w:left="850" w:right="0" w:firstLine="0"/>
      <w:spacing w:after="57"/>
    </w:pPr>
  </w:style>
  <w:style w:type="paragraph" w:styleId="939">
    <w:name w:val="toc 5"/>
    <w:basedOn w:val="946"/>
    <w:next w:val="946"/>
    <w:uiPriority w:val="39"/>
    <w:unhideWhenUsed/>
    <w:pPr>
      <w:ind w:left="1134" w:right="0" w:firstLine="0"/>
      <w:spacing w:after="57"/>
    </w:pPr>
  </w:style>
  <w:style w:type="paragraph" w:styleId="940">
    <w:name w:val="toc 6"/>
    <w:basedOn w:val="946"/>
    <w:next w:val="946"/>
    <w:uiPriority w:val="39"/>
    <w:unhideWhenUsed/>
    <w:pPr>
      <w:ind w:left="1417" w:right="0" w:firstLine="0"/>
      <w:spacing w:after="57"/>
    </w:pPr>
  </w:style>
  <w:style w:type="paragraph" w:styleId="941">
    <w:name w:val="toc 7"/>
    <w:basedOn w:val="946"/>
    <w:next w:val="946"/>
    <w:uiPriority w:val="39"/>
    <w:unhideWhenUsed/>
    <w:pPr>
      <w:ind w:left="1701" w:right="0" w:firstLine="0"/>
      <w:spacing w:after="57"/>
    </w:pPr>
  </w:style>
  <w:style w:type="paragraph" w:styleId="942">
    <w:name w:val="toc 8"/>
    <w:basedOn w:val="946"/>
    <w:next w:val="946"/>
    <w:uiPriority w:val="39"/>
    <w:unhideWhenUsed/>
    <w:pPr>
      <w:ind w:left="1984" w:right="0" w:firstLine="0"/>
      <w:spacing w:after="57"/>
    </w:pPr>
  </w:style>
  <w:style w:type="paragraph" w:styleId="943">
    <w:name w:val="toc 9"/>
    <w:basedOn w:val="946"/>
    <w:next w:val="946"/>
    <w:uiPriority w:val="39"/>
    <w:unhideWhenUsed/>
    <w:pPr>
      <w:ind w:left="2268" w:right="0" w:firstLine="0"/>
      <w:spacing w:after="57"/>
    </w:pPr>
  </w:style>
  <w:style w:type="paragraph" w:styleId="944">
    <w:name w:val="TOC Heading"/>
    <w:uiPriority w:val="39"/>
    <w:unhideWhenUsed/>
  </w:style>
  <w:style w:type="paragraph" w:styleId="945">
    <w:name w:val="table of figures"/>
    <w:basedOn w:val="946"/>
    <w:next w:val="946"/>
    <w:uiPriority w:val="99"/>
    <w:unhideWhenUsed/>
    <w:pPr>
      <w:spacing w:after="0" w:afterAutospacing="0"/>
    </w:pPr>
  </w:style>
  <w:style w:type="paragraph" w:styleId="946" w:default="1">
    <w:name w:val="Normal"/>
    <w:next w:val="946"/>
    <w:link w:val="946"/>
    <w:qFormat/>
    <w:rPr>
      <w:sz w:val="28"/>
      <w:lang w:val="ru-RU" w:eastAsia="ru-RU" w:bidi="ar-SA"/>
    </w:rPr>
  </w:style>
  <w:style w:type="paragraph" w:styleId="947">
    <w:name w:val="Заголовок 1"/>
    <w:basedOn w:val="946"/>
    <w:next w:val="946"/>
    <w:link w:val="946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48">
    <w:name w:val="Заголовок 2"/>
    <w:basedOn w:val="946"/>
    <w:next w:val="946"/>
    <w:link w:val="946"/>
    <w:qFormat/>
    <w:pPr>
      <w:jc w:val="center"/>
      <w:keepNext/>
      <w:spacing w:line="216" w:lineRule="auto"/>
      <w:outlineLvl w:val="1"/>
    </w:pPr>
    <w:rPr>
      <w:b/>
    </w:rPr>
  </w:style>
  <w:style w:type="paragraph" w:styleId="949">
    <w:name w:val="Заголовок 4"/>
    <w:basedOn w:val="946"/>
    <w:next w:val="946"/>
    <w:link w:val="946"/>
    <w:qFormat/>
    <w:pPr>
      <w:keepNext/>
      <w:spacing w:before="240" w:after="60"/>
      <w:outlineLvl w:val="3"/>
    </w:pPr>
    <w:rPr>
      <w:b/>
      <w:bCs/>
      <w:szCs w:val="28"/>
    </w:rPr>
  </w:style>
  <w:style w:type="character" w:styleId="950">
    <w:name w:val="Основной шрифт абзаца"/>
    <w:next w:val="950"/>
    <w:link w:val="946"/>
    <w:semiHidden/>
  </w:style>
  <w:style w:type="table" w:styleId="951">
    <w:name w:val="Обычная таблица"/>
    <w:next w:val="951"/>
    <w:link w:val="946"/>
    <w:uiPriority w:val="99"/>
    <w:semiHidden/>
    <w:unhideWhenUsed/>
    <w:tblPr/>
  </w:style>
  <w:style w:type="numbering" w:styleId="952">
    <w:name w:val="Нет списка"/>
    <w:next w:val="952"/>
    <w:link w:val="946"/>
    <w:uiPriority w:val="99"/>
    <w:semiHidden/>
    <w:unhideWhenUsed/>
  </w:style>
  <w:style w:type="paragraph" w:styleId="953">
    <w:name w:val="Основной текст"/>
    <w:basedOn w:val="946"/>
    <w:next w:val="953"/>
    <w:link w:val="946"/>
    <w:semiHidden/>
    <w:pPr>
      <w:jc w:val="center"/>
    </w:pPr>
    <w:rPr>
      <w:b/>
    </w:rPr>
  </w:style>
  <w:style w:type="paragraph" w:styleId="954">
    <w:name w:val="ConsNormal"/>
    <w:next w:val="954"/>
    <w:link w:val="946"/>
    <w:pPr>
      <w:ind w:firstLine="720"/>
    </w:pPr>
    <w:rPr>
      <w:rFonts w:ascii="Arial" w:hAnsi="Arial"/>
      <w:sz w:val="22"/>
      <w:lang w:val="ru-RU" w:eastAsia="ru-RU" w:bidi="ar-SA"/>
    </w:rPr>
  </w:style>
  <w:style w:type="paragraph" w:styleId="955">
    <w:name w:val="заголовок 2"/>
    <w:basedOn w:val="946"/>
    <w:next w:val="946"/>
    <w:link w:val="946"/>
    <w:pPr>
      <w:ind w:firstLine="720"/>
      <w:jc w:val="center"/>
      <w:keepNext/>
      <w:outlineLvl w:val="1"/>
    </w:pPr>
    <w:rPr>
      <w:b/>
    </w:rPr>
  </w:style>
  <w:style w:type="paragraph" w:styleId="956">
    <w:name w:val="Основной текст с отступом 3"/>
    <w:basedOn w:val="946"/>
    <w:next w:val="956"/>
    <w:link w:val="946"/>
    <w:semiHidden/>
    <w:pPr>
      <w:ind w:firstLine="600"/>
      <w:jc w:val="center"/>
      <w:spacing w:line="260" w:lineRule="auto"/>
      <w:widowControl w:val="off"/>
    </w:pPr>
  </w:style>
  <w:style w:type="paragraph" w:styleId="957">
    <w:name w:val="ConsPlusNormal"/>
    <w:next w:val="957"/>
    <w:link w:val="946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58">
    <w:name w:val="ConsPlusTitle"/>
    <w:next w:val="958"/>
    <w:link w:val="946"/>
    <w:rPr>
      <w:rFonts w:ascii="Calibri" w:hAnsi="Calibri" w:cs="Calibri"/>
      <w:b/>
      <w:bCs/>
      <w:sz w:val="22"/>
      <w:szCs w:val="22"/>
      <w:lang w:val="ru-RU" w:eastAsia="en-US" w:bidi="ar-SA"/>
    </w:rPr>
  </w:style>
  <w:style w:type="paragraph" w:styleId="959">
    <w:name w:val="Текст выноски"/>
    <w:basedOn w:val="946"/>
    <w:next w:val="959"/>
    <w:link w:val="946"/>
    <w:semiHidden/>
    <w:rPr>
      <w:rFonts w:ascii="Tahoma" w:hAnsi="Tahoma" w:cs="Tahoma"/>
      <w:sz w:val="16"/>
      <w:szCs w:val="16"/>
    </w:rPr>
  </w:style>
  <w:style w:type="paragraph" w:styleId="960">
    <w:name w:val="Письмо главы"/>
    <w:basedOn w:val="946"/>
    <w:next w:val="960"/>
    <w:link w:val="946"/>
    <w:pPr>
      <w:ind w:firstLine="709"/>
      <w:jc w:val="both"/>
    </w:pPr>
    <w:rPr>
      <w:szCs w:val="28"/>
    </w:rPr>
  </w:style>
  <w:style w:type="character" w:styleId="961">
    <w:name w:val="Гиперссылка"/>
    <w:next w:val="961"/>
    <w:link w:val="946"/>
    <w:rPr>
      <w:color w:val="0000ff"/>
      <w:u w:val="single"/>
    </w:rPr>
  </w:style>
  <w:style w:type="paragraph" w:styleId="962">
    <w:name w:val="ConsPlusNonformat"/>
    <w:next w:val="962"/>
    <w:link w:val="946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963">
    <w:name w:val="Строгий"/>
    <w:next w:val="963"/>
    <w:link w:val="946"/>
    <w:qFormat/>
    <w:rPr>
      <w:b/>
      <w:bCs/>
    </w:rPr>
  </w:style>
  <w:style w:type="paragraph" w:styleId="964">
    <w:name w:val="Абзац списка"/>
    <w:basedOn w:val="946"/>
    <w:next w:val="964"/>
    <w:link w:val="946"/>
    <w:uiPriority w:val="34"/>
    <w:qFormat/>
    <w:pPr>
      <w:contextualSpacing/>
      <w:ind w:left="720"/>
    </w:pPr>
    <w:rPr>
      <w:rFonts w:eastAsia="Calibri"/>
      <w:sz w:val="20"/>
    </w:rPr>
  </w:style>
  <w:style w:type="paragraph" w:styleId="965">
    <w:name w:val="Обычный (веб)"/>
    <w:basedOn w:val="946"/>
    <w:next w:val="965"/>
    <w:link w:val="946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66">
    <w:name w:val="Верхний колонтитул"/>
    <w:basedOn w:val="946"/>
    <w:next w:val="966"/>
    <w:link w:val="967"/>
    <w:uiPriority w:val="99"/>
    <w:pPr>
      <w:tabs>
        <w:tab w:val="center" w:pos="4677" w:leader="none"/>
        <w:tab w:val="right" w:pos="9355" w:leader="none"/>
      </w:tabs>
    </w:pPr>
  </w:style>
  <w:style w:type="character" w:styleId="967">
    <w:name w:val="Верхний колонтитул Знак"/>
    <w:next w:val="967"/>
    <w:link w:val="966"/>
    <w:uiPriority w:val="99"/>
    <w:rPr>
      <w:sz w:val="28"/>
    </w:rPr>
  </w:style>
  <w:style w:type="paragraph" w:styleId="968">
    <w:name w:val="Нижний колонтитул"/>
    <w:basedOn w:val="946"/>
    <w:next w:val="968"/>
    <w:link w:val="969"/>
    <w:pPr>
      <w:tabs>
        <w:tab w:val="center" w:pos="4677" w:leader="none"/>
        <w:tab w:val="right" w:pos="9355" w:leader="none"/>
      </w:tabs>
    </w:pPr>
  </w:style>
  <w:style w:type="character" w:styleId="969">
    <w:name w:val="Нижний колонтитул Знак"/>
    <w:next w:val="969"/>
    <w:link w:val="968"/>
    <w:rPr>
      <w:sz w:val="28"/>
    </w:rPr>
  </w:style>
  <w:style w:type="character" w:styleId="970">
    <w:name w:val="Знак примечания"/>
    <w:next w:val="970"/>
    <w:link w:val="946"/>
    <w:rPr>
      <w:sz w:val="16"/>
      <w:szCs w:val="16"/>
    </w:rPr>
  </w:style>
  <w:style w:type="paragraph" w:styleId="971">
    <w:name w:val="Текст примечания"/>
    <w:basedOn w:val="946"/>
    <w:next w:val="971"/>
    <w:link w:val="972"/>
    <w:rPr>
      <w:sz w:val="20"/>
    </w:rPr>
  </w:style>
  <w:style w:type="character" w:styleId="972">
    <w:name w:val="Текст примечания Знак"/>
    <w:basedOn w:val="950"/>
    <w:next w:val="972"/>
    <w:link w:val="971"/>
  </w:style>
  <w:style w:type="paragraph" w:styleId="973">
    <w:name w:val="Тема примечания"/>
    <w:basedOn w:val="971"/>
    <w:next w:val="971"/>
    <w:link w:val="974"/>
    <w:rPr>
      <w:b/>
      <w:bCs/>
    </w:rPr>
  </w:style>
  <w:style w:type="character" w:styleId="974">
    <w:name w:val="Тема примечания Знак"/>
    <w:next w:val="974"/>
    <w:link w:val="973"/>
    <w:rPr>
      <w:b/>
      <w:bCs/>
    </w:rPr>
  </w:style>
  <w:style w:type="character" w:styleId="975" w:default="1">
    <w:name w:val="Default Paragraph Font"/>
    <w:uiPriority w:val="1"/>
    <w:semiHidden/>
    <w:unhideWhenUsed/>
  </w:style>
  <w:style w:type="numbering" w:styleId="976" w:default="1">
    <w:name w:val="No List"/>
    <w:uiPriority w:val="99"/>
    <w:semiHidden/>
    <w:unhideWhenUsed/>
  </w:style>
  <w:style w:type="table" w:styleId="9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footer" Target="footer1.xml" /><Relationship Id="rId16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СТРОИТЕЛЬСТВА И ЖИЛИЩНО-КОММУНАЛЬНОГО ХОЗЯЙСТВА НОВОСИБИРСКОЙ ОБЛАСТИ</dc:title>
  <dc:creator>User</dc:creator>
  <cp:revision>28</cp:revision>
  <dcterms:created xsi:type="dcterms:W3CDTF">2024-01-17T02:49:00Z</dcterms:created>
  <dcterms:modified xsi:type="dcterms:W3CDTF">2024-08-08T03:40:40Z</dcterms:modified>
  <cp:version>1048576</cp:version>
</cp:coreProperties>
</file>