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от 23.01.2015 № 24-п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Batang" w:cs="Times New Roman"/>
          <w:b/>
          <w:color w:val="000000"/>
          <w:sz w:val="28"/>
          <w:szCs w:val="28"/>
          <w:lang w:eastAsia="ru-RU"/>
        </w:rPr>
        <w:t xml:space="preserve">п о с т а н о в л я е т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государственной программы Новосибирской области «Развитие физической культуры и спорта в Новосибирской области» следую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щие изменения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non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 государственной программе Новосибирской области «Развитие физической культуры и спорта в Новосибирской области»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 приложении № 6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«Порядок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предоставления и распределения субсидий из областного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бюджета Новосибирской области бюджетам муниципальных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образований Новосибирской области на реализацию мероприятий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государственной п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рограммы Новосибирской области «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Развитие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физической культуры 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спорта в Новосибирской области»:</w:t>
      </w:r>
      <w:r/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1)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в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 пункте 1: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t xml:space="preserve">а)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t xml:space="preserve">подпункт 3 изложить в следующей редакции:</w:t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Построены и реконструированы спортивные объекты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;»;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б)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подпункт 5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изложить в следующей редакции:</w:t>
      </w:r>
      <w:r>
        <w:rPr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Обеспечено укрепление, приведение в нормативное состояние и развитие спортивной инфраструктуры муниципальных образований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;»;</w:t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2)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абзац тридцатый пункта 2 изложить в следующей редакции: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ровень софинансирования расходных обязательств муниципальных образований, в целях софинансирования которых предоставляется субсидия, равен уровню софинансирования, предусмотренному распоряжением Правительства Новосибирской области об установлении предельны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х уровней софинансирования на очередной финансовый год и плановый период, для соответствующего муниципального образования 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(далее – распоряжение о предельных уровней софинансирования)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В случае предоставления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за счет средств указанных субсидий, уровень софинансирования равен уровню, предусмотренному распоряжением о предельных уровнях софинансирования для соответствующего поселения.»;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3)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абзац второй подпункта 2 пункта 5 изложить в следующей редакции: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личество поставленных комплектов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спортивно-технологического оборудования;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4)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абзац «а» подпункта 4 пункта 5 изложить в следующей редакции:</w:t>
      </w: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«а)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абзаца «а»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личество поставленных комплектов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спортивно-техно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логического оборудования;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подпункте 2 пункта 10: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бзац первый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государственной поддержки муниципальных образований Новосибирской области в части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оснащения объектов спортивной инфраструктуры спортивно-технологическим оборудованием (малые площадки ГТО)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указанных в абзаце «в» настоящего подпункта,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гарантийное письмо о представлении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 не позднее 10 рабочих дней до момента перечисления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указанных в абзаце «в» настоящего подпункта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пункте 14: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абзац первый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14.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Для получения субсидий на реализацию мероприятия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Обеспечение укрепления, приведения в нормативное состояние и развитие спортивной инфраструктуры муниципальных образований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 органы местного самоуправления представляют ГРБС, ответственному за реализацию соответствующего мероприятия,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после пункта 1 дополнить подпунктом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1.1)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документов, указанных в абзацах «б» и «в» подпункта 1 пункта 14,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гарантийное письмо о представлении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срок не позднее 10 рабочих дней до момента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актов о приемке и стоимости выполненных работ (разработанные по формам КС-2, КС-3)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указанных в абзацах «б» и «в» подпункта 1 пункта 14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в)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абзац «в» подпункта 3.1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приложении №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 к постановлению Правительства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 Новосибирской области от 23.01.2015 № 24-п «Об утверждении </w:t>
      </w:r>
      <w:r>
        <w:rPr>
          <w:rFonts w:ascii="Times New Roman" w:hAnsi="Times New Roman" w:eastAsia="Batang" w:cs="Times New Roman"/>
          <w:bCs/>
          <w:sz w:val="28"/>
          <w:szCs w:val="28"/>
          <w:lang w:eastAsia="ru-RU"/>
        </w:rPr>
        <w:t xml:space="preserve">государственной программы Новосибирской области «Развитие физической культуры и спорта в Новосибирской области»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абзац первый пункта 8.1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случае если получателем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мероприятиям государственной программы (далее – субсидия)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по состоянию на 31 декабря года, в котором получателю субсидии предоставлена субсидия, допущены нарушения обязательств, предусмотренных соглашением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предоставлении субсидии (далее – соглашение) в части значений показателей результативности использования субсидии и обязательств получателя субсидии по их достижению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и в срок до 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апреля года, следующего за годом, в котором получателю субсидии предоставлена субсидия, указанные нарушения не устранены, а также отсутствует решение об освобождении получателя субсидии от применения мер ответственности, средства субсидии подлежат возвр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ату в областной бюджет в срок до 15 мая года, следующего за годом предоставления субсидии, в объеме (V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  <w:t xml:space="preserve">возврата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), рассчитываемом по формуле: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Batang" w:cs="Times New Roman"/>
          <w:color w:val="000000"/>
          <w:sz w:val="28"/>
          <w:szCs w:val="28"/>
          <w:lang w:eastAsia="ru-RU"/>
        </w:rPr>
        <w:t xml:space="preserve"> 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ействие абзаца «б» подпункта 1, подпункт 2, подпункт 5, подпункт 6 пункта 1 настоящего постановления распространяется на правоотношения, возникшие с 01.01.2024.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А.А. Травников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.А.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Ахапов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222 73 81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Первый заместитель Губернатора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  <w:t xml:space="preserve">                          Ю.В. Петухов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________2024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Министр юстиции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        Т.Н. 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Деркач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________2024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Заместитель Губернатора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                                        М.Г. Кудрявцев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________2024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Министр экономического развития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Л.Н. Решетников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________2024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аместитель Председателя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8100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Правительства 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министр финансов и налоговой политики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                                                                        В.Ю. Голубенко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________2024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Министр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бирской области                                                                               С.А.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Ахапов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________2024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4"/>
          <w:highlight w:val="white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Начальник отдела </w:t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4"/>
          <w:highlight w:val="white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бюджетно-экономического планирования</w:t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и мониторинга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тел. 238 64 30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                      А.В. 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Марно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Batang" w:cs="Times New Roman"/>
          <w:sz w:val="20"/>
          <w:szCs w:val="24"/>
          <w:highlight w:val="none"/>
          <w:lang w:eastAsia="ru-RU"/>
        </w:rPr>
      </w:r>
      <w:r>
        <w:rPr>
          <w:rFonts w:ascii="Times New Roman" w:hAnsi="Times New Roman" w:eastAsia="Batang" w:cs="Times New Roman"/>
          <w:sz w:val="20"/>
          <w:szCs w:val="24"/>
          <w:highlight w:val="non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Консультант отдела организационной, правовой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4"/>
          <w:highlight w:val="white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работы и контроля </w:t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</w:p>
    <w:p>
      <w:pPr>
        <w:spacing w:before="40" w:after="0" w:line="240" w:lineRule="auto"/>
        <w:widowControl w:val="off"/>
        <w:tabs>
          <w:tab w:val="right" w:pos="9923" w:leader="none"/>
        </w:tabs>
        <w:rPr>
          <w:rFonts w:ascii="Times New Roman" w:hAnsi="Times New Roman" w:eastAsia="Batang" w:cs="Times New Roman"/>
          <w:sz w:val="20"/>
          <w:szCs w:val="24"/>
          <w:highlight w:val="white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тел. 238 77 44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ab/>
        <w:t xml:space="preserve">Д.Д. </w:t>
      </w:r>
      <w:r>
        <w:rPr>
          <w:rFonts w:ascii="Times New Roman" w:hAnsi="Times New Roman" w:eastAsia="Batang" w:cs="Times New Roman"/>
          <w:sz w:val="20"/>
          <w:szCs w:val="24"/>
          <w:highlight w:val="none"/>
        </w:rPr>
        <w:t xml:space="preserve">Бирюков</w:t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20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tang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70431059"/>
      <w:docPartObj>
        <w:docPartGallery w:val="Page Numbers (Top of Page)"/>
        <w:docPartUnique w:val="true"/>
      </w:docPartObj>
      <w:rPr/>
    </w:sdtPr>
    <w:sdtContent>
      <w:p>
        <w:pPr>
          <w:pStyle w:val="6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5"/>
    <w:next w:val="68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5"/>
    <w:next w:val="68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5"/>
    <w:next w:val="68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5"/>
    <w:next w:val="68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5"/>
    <w:next w:val="68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5"/>
    <w:next w:val="68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6"/>
    <w:link w:val="34"/>
    <w:uiPriority w:val="10"/>
    <w:rPr>
      <w:sz w:val="48"/>
      <w:szCs w:val="48"/>
    </w:rPr>
  </w:style>
  <w:style w:type="paragraph" w:styleId="36">
    <w:name w:val="Subtitle"/>
    <w:basedOn w:val="685"/>
    <w:next w:val="68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6"/>
    <w:link w:val="36"/>
    <w:uiPriority w:val="11"/>
    <w:rPr>
      <w:sz w:val="24"/>
      <w:szCs w:val="24"/>
    </w:rPr>
  </w:style>
  <w:style w:type="paragraph" w:styleId="38">
    <w:name w:val="Quote"/>
    <w:basedOn w:val="685"/>
    <w:next w:val="6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5"/>
    <w:next w:val="6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6"/>
    <w:link w:val="689"/>
    <w:uiPriority w:val="99"/>
  </w:style>
  <w:style w:type="character" w:styleId="45">
    <w:name w:val="Footer Char"/>
    <w:basedOn w:val="686"/>
    <w:link w:val="704"/>
    <w:uiPriority w:val="99"/>
  </w:style>
  <w:style w:type="paragraph" w:styleId="46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4"/>
    <w:uiPriority w:val="99"/>
  </w:style>
  <w:style w:type="table" w:styleId="48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</w:style>
  <w:style w:type="character" w:styleId="686" w:default="1">
    <w:name w:val="Default Paragraph Font"/>
    <w:uiPriority w:val="1"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>
    <w:name w:val="Header"/>
    <w:basedOn w:val="685"/>
    <w:link w:val="69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690" w:customStyle="1">
    <w:name w:val="Верхний колонтитул Знак"/>
    <w:basedOn w:val="686"/>
    <w:link w:val="689"/>
    <w:uiPriority w:val="99"/>
    <w:rPr>
      <w:rFonts w:ascii="Times New Roman" w:hAnsi="Times New Roman" w:eastAsia="Batang" w:cs="Times New Roman"/>
      <w:sz w:val="24"/>
      <w:szCs w:val="24"/>
      <w:lang w:eastAsia="ru-RU"/>
    </w:rPr>
  </w:style>
  <w:style w:type="paragraph" w:styleId="691">
    <w:name w:val="Balloon Text"/>
    <w:basedOn w:val="685"/>
    <w:link w:val="6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basedOn w:val="686"/>
    <w:link w:val="691"/>
    <w:uiPriority w:val="99"/>
    <w:semiHidden/>
    <w:rPr>
      <w:rFonts w:ascii="Tahoma" w:hAnsi="Tahoma" w:cs="Tahoma"/>
      <w:sz w:val="16"/>
      <w:szCs w:val="16"/>
    </w:rPr>
  </w:style>
  <w:style w:type="character" w:styleId="693">
    <w:name w:val="Hyperlink"/>
    <w:basedOn w:val="686"/>
    <w:uiPriority w:val="99"/>
    <w:unhideWhenUsed/>
    <w:rPr>
      <w:color w:val="0000ff" w:themeColor="hyperlink"/>
      <w:u w:val="single"/>
    </w:rPr>
  </w:style>
  <w:style w:type="paragraph" w:styleId="694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695">
    <w:name w:val="annotation reference"/>
    <w:basedOn w:val="686"/>
    <w:uiPriority w:val="99"/>
    <w:semiHidden/>
    <w:unhideWhenUsed/>
    <w:rPr>
      <w:sz w:val="16"/>
      <w:szCs w:val="16"/>
    </w:rPr>
  </w:style>
  <w:style w:type="paragraph" w:styleId="696">
    <w:name w:val="annotation text"/>
    <w:basedOn w:val="685"/>
    <w:link w:val="69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7" w:customStyle="1">
    <w:name w:val="Текст примечания Знак"/>
    <w:basedOn w:val="686"/>
    <w:link w:val="696"/>
    <w:uiPriority w:val="99"/>
    <w:semiHidden/>
    <w:rPr>
      <w:sz w:val="20"/>
      <w:szCs w:val="20"/>
    </w:rPr>
  </w:style>
  <w:style w:type="paragraph" w:styleId="698">
    <w:name w:val="annotation subject"/>
    <w:basedOn w:val="696"/>
    <w:next w:val="696"/>
    <w:link w:val="699"/>
    <w:uiPriority w:val="99"/>
    <w:semiHidden/>
    <w:unhideWhenUsed/>
    <w:rPr>
      <w:b/>
      <w:bCs/>
    </w:rPr>
  </w:style>
  <w:style w:type="character" w:styleId="699" w:customStyle="1">
    <w:name w:val="Тема примечания Знак"/>
    <w:basedOn w:val="697"/>
    <w:link w:val="698"/>
    <w:uiPriority w:val="99"/>
    <w:semiHidden/>
    <w:rPr>
      <w:b/>
      <w:bCs/>
      <w:sz w:val="20"/>
      <w:szCs w:val="20"/>
    </w:rPr>
  </w:style>
  <w:style w:type="paragraph" w:styleId="700">
    <w:name w:val="List Paragraph"/>
    <w:basedOn w:val="685"/>
    <w:uiPriority w:val="34"/>
    <w:qFormat/>
    <w:pPr>
      <w:contextualSpacing/>
      <w:ind w:left="720"/>
    </w:pPr>
  </w:style>
  <w:style w:type="paragraph" w:styleId="701">
    <w:name w:val="Revision"/>
    <w:hidden/>
    <w:uiPriority w:val="99"/>
    <w:semiHidden/>
    <w:pPr>
      <w:spacing w:after="0" w:line="240" w:lineRule="auto"/>
    </w:pPr>
  </w:style>
  <w:style w:type="paragraph" w:styleId="702" w:customStyle="1">
    <w:name w:val="formattext"/>
    <w:basedOn w:val="6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Normal (Web)"/>
    <w:basedOn w:val="68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4">
    <w:name w:val="Footer"/>
    <w:basedOn w:val="685"/>
    <w:link w:val="7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5" w:customStyle="1">
    <w:name w:val="Нижний колонтитул Знак"/>
    <w:basedOn w:val="686"/>
    <w:link w:val="70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7E82-7D1E-4CFA-B67E-092AC65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2024-03-11T05:09:00Z</dcterms:created>
  <dcterms:modified xsi:type="dcterms:W3CDTF">2024-03-18T09:43:04Z</dcterms:modified>
</cp:coreProperties>
</file>