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56"/>
        <w:jc w:val="right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56"/>
        <w:jc w:val="both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56"/>
        <w:jc w:val="both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56"/>
        <w:jc w:val="both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56"/>
        <w:jc w:val="both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5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Порядка организации дублирования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сигналов о возникновении пожара в подразделения пожарной охраны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56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56"/>
        <w:ind w:firstLine="709"/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с</w:t>
      </w:r>
      <w:r>
        <w:rPr>
          <w:rFonts w:ascii="Times New Roman" w:hAnsi="Times New Roman"/>
          <w:sz w:val="28"/>
          <w:szCs w:val="28"/>
        </w:rPr>
        <w:t xml:space="preserve">о статьей 18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 </w:t>
      </w:r>
      <w:r>
        <w:rPr>
          <w:rFonts w:ascii="Times New Roman" w:hAnsi="Times New Roman"/>
          <w:sz w:val="28"/>
          <w:szCs w:val="28"/>
        </w:rPr>
        <w:t xml:space="preserve">21.12.1994 № 69-ФЗ «О пожарной безопасности»,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7 статьи 83 </w:t>
      </w:r>
      <w:r>
        <w:rPr>
          <w:rFonts w:ascii="Times New Roman" w:hAnsi="Times New Roman"/>
          <w:sz w:val="28"/>
          <w:szCs w:val="28"/>
        </w:rPr>
        <w:t xml:space="preserve">Федерального закона от 22.07.2008 № 123-ФЗ «Технический регламент о требованиях пожарной безопасности»</w:t>
      </w:r>
      <w:r>
        <w:rPr>
          <w:rFonts w:ascii="Times New Roman" w:hAnsi="Times New Roman"/>
          <w:sz w:val="28"/>
          <w:szCs w:val="28"/>
        </w:rPr>
        <w:t xml:space="preserve">, абзацем 12.4) пункта 2 статьи </w:t>
      </w:r>
      <w:r>
        <w:rPr>
          <w:rFonts w:ascii="Times New Roman" w:hAnsi="Times New Roman"/>
          <w:sz w:val="28"/>
          <w:szCs w:val="28"/>
        </w:rPr>
        <w:t xml:space="preserve">3 Закона Новосибирской области от 14.05.2005 № 294-ОЗ «О противопожарной службе Новосибирской области и обеспечении пожарной безопасности в Новосибирской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Правительство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т: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5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Утвердить прилагаемый Порядок организации дублирования сигналов о возникновении пожара в подразделения пожарной охраны на территории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 Министерству цифрового развития и связи Новосибирской области: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установленным порядком принять от Главного управления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Российской Федерации по делам гражданской обороны, чр</w:t>
      </w:r>
      <w:r>
        <w:rPr>
          <w:rFonts w:ascii="Times New Roman" w:hAnsi="Times New Roman"/>
          <w:sz w:val="28"/>
          <w:szCs w:val="28"/>
          <w:highlight w:val="none"/>
        </w:rPr>
        <w:t xml:space="preserve">езвычайным ситуациям и ликвидации последствий стихийных бедствий по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по Новосибирской области прибор пультовый оконечный системы передачи извещений о пожаре;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обеспечить установку </w:t>
      </w:r>
      <w:r>
        <w:rPr>
          <w:rFonts w:ascii="Times New Roman" w:hAnsi="Times New Roman"/>
          <w:sz w:val="28"/>
          <w:szCs w:val="28"/>
          <w:highlight w:val="none"/>
        </w:rPr>
        <w:t xml:space="preserve">прибора пультовый оконечный системы передачи извещений о пожаре</w:t>
      </w:r>
      <w:r>
        <w:rPr>
          <w:rFonts w:ascii="Times New Roman" w:hAnsi="Times New Roman"/>
          <w:sz w:val="28"/>
          <w:szCs w:val="28"/>
        </w:rPr>
        <w:t xml:space="preserve"> в помещениях государственного бюджетного учреждения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eastAsia="zh-CN" w:bidi="ar-SA"/>
        </w:rPr>
        <w:t xml:space="preserve">«Центр обработки данных Новосибирской области» </w:t>
      </w:r>
      <w:r>
        <w:rPr>
          <w:rFonts w:ascii="Times New Roman" w:hAnsi="Times New Roman"/>
          <w:sz w:val="28"/>
          <w:szCs w:val="28"/>
          <w:highlight w:val="none"/>
        </w:rPr>
        <w:t xml:space="preserve">и поддержание его работоспособнос</w:t>
      </w:r>
      <w:r>
        <w:rPr>
          <w:rFonts w:ascii="Times New Roman" w:hAnsi="Times New Roman"/>
          <w:sz w:val="28"/>
          <w:szCs w:val="28"/>
        </w:rPr>
        <w:t xml:space="preserve">ти в соответствии с нормативными правовыми актами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3) организовать процедуру выдачи исходных данных для подключения объектов защиты, расположенных в зданиях классов функциональной 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 к системам передачи извещений о пожаре, </w:t>
      </w:r>
      <w:r>
        <w:rPr>
          <w:rFonts w:ascii="Times New Roman" w:hAnsi="Times New Roman"/>
          <w:sz w:val="28"/>
          <w:szCs w:val="28"/>
        </w:rPr>
        <w:t xml:space="preserve">в соответствии с запросами (заявлениями) руководителей объектов защиты, заказчика проектной документации или проектной организации, уполномоченной заказчиком;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 во взаимодействии с министерством жилищно-коммунального хозяйства и энергетики Новосибирской области и Главным управлением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Российской Федерации по делам гражданской обороны, чр</w:t>
      </w:r>
      <w:r>
        <w:rPr>
          <w:rFonts w:ascii="Times New Roman" w:hAnsi="Times New Roman"/>
          <w:sz w:val="28"/>
          <w:szCs w:val="28"/>
          <w:highlight w:val="none"/>
        </w:rPr>
        <w:t xml:space="preserve">езвычайным ситуациям и ликвидации последствий стихийных бедствий по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спланировать развитие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этих сигналов в подразделение пожарной охраны с использованием системы передачи извещений о пожаре на объектах </w:t>
      </w:r>
      <w:r>
        <w:rPr>
          <w:rFonts w:ascii="Times New Roman" w:hAnsi="Times New Roman"/>
          <w:sz w:val="28"/>
          <w:szCs w:val="28"/>
          <w:highlight w:val="none"/>
        </w:rPr>
        <w:t xml:space="preserve">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 муниципальной собственности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, расположенных  на территории 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Министерству образования Новосибирской области, министерству здравоохранения Новосибирской области, министерству труда и социального развития Новосибирской области, министерству культуры </w:t>
      </w: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, имеющим подведомственные учреждения 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организовать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работу по оснащению (реконструкции) объектов, находящихся в государственной собственности Новосибирской области, </w:t>
      </w:r>
      <w:r>
        <w:rPr>
          <w:rFonts w:ascii="Times New Roman" w:hAnsi="Times New Roman"/>
          <w:sz w:val="28"/>
          <w:szCs w:val="28"/>
          <w:highlight w:val="none"/>
        </w:rPr>
        <w:t xml:space="preserve">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системами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разработать планы по оснащению (реконструкции) объектов, находящихся в государственной собственности Новосибирской области,</w:t>
      </w:r>
      <w:r>
        <w:rPr>
          <w:rFonts w:ascii="Times New Roman" w:hAnsi="Times New Roman"/>
          <w:sz w:val="28"/>
          <w:szCs w:val="28"/>
          <w:highlight w:val="none"/>
        </w:rPr>
        <w:t xml:space="preserve"> 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системами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</w:t>
      </w:r>
      <w:r>
        <w:rPr>
          <w:rFonts w:ascii="Times New Roman" w:hAnsi="Times New Roman"/>
          <w:sz w:val="28"/>
          <w:szCs w:val="28"/>
          <w:highlight w:val="none"/>
        </w:rPr>
        <w:t xml:space="preserve"> и согласовать их с Главным управлением Министерства Российской Федерации по делам гражданской обороны, чр</w:t>
      </w:r>
      <w:r>
        <w:rPr>
          <w:rFonts w:ascii="Times New Roman" w:hAnsi="Times New Roman"/>
          <w:sz w:val="28"/>
          <w:szCs w:val="28"/>
          <w:highlight w:val="none"/>
        </w:rPr>
        <w:t xml:space="preserve">езвычайным ситуациям и ликвидации последствий стихийных бедствий по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организовать информирование министерства цифрового развития и связи Новосибирской области об объектах, </w:t>
      </w:r>
      <w:r>
        <w:rPr>
          <w:rFonts w:ascii="Times New Roman" w:hAnsi="Times New Roman"/>
          <w:sz w:val="28"/>
          <w:szCs w:val="28"/>
          <w:highlight w:val="none"/>
        </w:rPr>
        <w:t xml:space="preserve">находящихся в государственной собственности Новосибирской области,</w:t>
      </w:r>
      <w:r>
        <w:rPr>
          <w:rFonts w:ascii="Times New Roman" w:hAnsi="Times New Roman"/>
          <w:sz w:val="28"/>
          <w:szCs w:val="28"/>
          <w:highlight w:val="none"/>
        </w:rPr>
        <w:t xml:space="preserve"> 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, подлежащих </w:t>
      </w:r>
      <w:r>
        <w:rPr>
          <w:rFonts w:ascii="Times New Roman" w:hAnsi="Times New Roman"/>
          <w:sz w:val="28"/>
          <w:szCs w:val="28"/>
          <w:highlight w:val="none"/>
        </w:rPr>
        <w:t xml:space="preserve"> оборудованию (реконструкции)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системами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пожаре.</w:t>
      </w:r>
      <w:r>
        <w:rPr>
          <w:rFonts w:ascii="Times New Roman" w:hAnsi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Рекомендовать руководителям органов местного самоуправления Новосибирской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разработать планы по оснащению (реконструкции) объектов, находящихся в муниципальной собственности, </w:t>
      </w:r>
      <w:r>
        <w:rPr>
          <w:rFonts w:ascii="Times New Roman" w:hAnsi="Times New Roman"/>
          <w:sz w:val="28"/>
          <w:szCs w:val="28"/>
          <w:highlight w:val="none"/>
        </w:rPr>
        <w:t xml:space="preserve">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системами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</w:t>
      </w:r>
      <w:r>
        <w:rPr>
          <w:rFonts w:ascii="Times New Roman" w:hAnsi="Times New Roman"/>
          <w:sz w:val="28"/>
          <w:szCs w:val="28"/>
          <w:highlight w:val="none"/>
        </w:rPr>
        <w:t xml:space="preserve"> и согласовать их с Главным управлением Министерства Российской Федерации по делам гражданской обороны, чр</w:t>
      </w:r>
      <w:r>
        <w:rPr>
          <w:rFonts w:ascii="Times New Roman" w:hAnsi="Times New Roman"/>
          <w:sz w:val="28"/>
          <w:szCs w:val="28"/>
          <w:highlight w:val="none"/>
        </w:rPr>
        <w:t xml:space="preserve">езвычайным ситуациям и ликвидации последствий стихийных бедствий по 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организовать информирование министерства цифрового развития и связи Новосибирской области об объектах, </w:t>
      </w:r>
      <w:r>
        <w:rPr>
          <w:rFonts w:ascii="Times New Roman" w:hAnsi="Times New Roman"/>
          <w:sz w:val="28"/>
          <w:szCs w:val="28"/>
          <w:highlight w:val="none"/>
        </w:rPr>
        <w:t xml:space="preserve">находящихся в муниципальной собственности,</w:t>
      </w:r>
      <w:r>
        <w:rPr>
          <w:rFonts w:ascii="Times New Roman" w:hAnsi="Times New Roman"/>
          <w:sz w:val="28"/>
          <w:szCs w:val="28"/>
          <w:highlight w:val="none"/>
        </w:rPr>
        <w:t xml:space="preserve"> 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, подлежащих </w:t>
      </w:r>
      <w:r>
        <w:rPr>
          <w:rFonts w:ascii="Times New Roman" w:hAnsi="Times New Roman"/>
          <w:sz w:val="28"/>
          <w:szCs w:val="28"/>
          <w:highlight w:val="none"/>
        </w:rPr>
        <w:t xml:space="preserve"> оборудованию (реконструкции)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системами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5. Рекомендовать </w:t>
      </w:r>
      <w:r>
        <w:rPr>
          <w:rFonts w:ascii="Times New Roman" w:hAnsi="Times New Roman"/>
          <w:sz w:val="28"/>
          <w:szCs w:val="28"/>
          <w:highlight w:val="none"/>
        </w:rPr>
        <w:t xml:space="preserve">Главному управлению  Министерства Российской Федерации по делам гражданской обороны, чр</w:t>
      </w:r>
      <w:r>
        <w:rPr>
          <w:rFonts w:ascii="Times New Roman" w:hAnsi="Times New Roman"/>
          <w:sz w:val="28"/>
          <w:szCs w:val="28"/>
          <w:highlight w:val="none"/>
        </w:rPr>
        <w:t xml:space="preserve">езвычайным ситуациям и ликвидации последствий стихийных бедствий по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, в рамках проводимых проверок федерального государственного пожарного надзора</w:t>
      </w:r>
      <w:r>
        <w:rPr>
          <w:rFonts w:ascii="Times New Roman" w:hAnsi="Times New Roman"/>
          <w:sz w:val="28"/>
          <w:szCs w:val="28"/>
          <w:highlight w:val="none"/>
        </w:rPr>
        <w:t xml:space="preserve">, информировать заинтересованные исполнительные органы Новосибирской области, органы местного самоуправления об объектах,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 собственности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, муниципальной собственности и других форм собственности, расположенных на территориях муниципальных образований </w:t>
      </w:r>
      <w:r>
        <w:rPr>
          <w:rFonts w:ascii="Times New Roman" w:hAnsi="Times New Roman"/>
          <w:sz w:val="28"/>
          <w:szCs w:val="28"/>
          <w:highlight w:val="none"/>
        </w:rPr>
        <w:t xml:space="preserve">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, на которых отсутствуют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системы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Style w:val="986"/>
          <w:rFonts w:ascii="Times New Roman" w:hAnsi="Times New Roman"/>
          <w:b w:val="0"/>
          <w:color w:val="000000"/>
          <w:sz w:val="28"/>
          <w:szCs w:val="28"/>
          <w:highlight w:val="none"/>
          <w:shd w:val="clear" w:color="auto" w:fill="ffffff"/>
        </w:rPr>
        <w:t xml:space="preserve">6. 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highlight w:val="none"/>
          <w:shd w:val="clear" w:color="auto" w:fill="ffffff"/>
        </w:rPr>
        <w:t xml:space="preserve">Рекомендовать организациям различных форм собственности: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Style w:val="986"/>
          <w:rFonts w:ascii="Times New Roman" w:hAnsi="Times New Roman"/>
          <w:b w:val="0"/>
          <w:color w:val="000000"/>
          <w:sz w:val="28"/>
          <w:szCs w:val="28"/>
          <w:highlight w:val="none"/>
          <w:shd w:val="clear" w:color="auto" w:fill="ffffff"/>
        </w:rPr>
        <w:t xml:space="preserve">1) при оснащении объектов, </w:t>
      </w:r>
      <w:r>
        <w:rPr>
          <w:rFonts w:ascii="Times New Roman" w:hAnsi="Times New Roman"/>
          <w:sz w:val="28"/>
          <w:szCs w:val="28"/>
          <w:highlight w:val="none"/>
        </w:rPr>
        <w:t xml:space="preserve">классов функциональной </w:t>
      </w:r>
      <w:r>
        <w:rPr>
          <w:rFonts w:ascii="Times New Roman" w:hAnsi="Times New Roman"/>
          <w:sz w:val="28"/>
          <w:szCs w:val="28"/>
        </w:rPr>
        <w:t xml:space="preserve">пожарной опасности </w:t>
      </w:r>
      <w:r>
        <w:rPr>
          <w:rFonts w:ascii="Times New Roman" w:hAnsi="Times New Roman"/>
          <w:sz w:val="28"/>
          <w:szCs w:val="28"/>
        </w:rPr>
        <w:t xml:space="preserve">Ф1.1, Ф1.2, Ф4.1, Ф4.2</w:t>
      </w:r>
      <w:r>
        <w:rPr>
          <w:rFonts w:ascii="Times New Roman" w:hAnsi="Times New Roman"/>
          <w:sz w:val="28"/>
          <w:szCs w:val="28"/>
          <w:highlight w:val="none"/>
        </w:rPr>
        <w:t xml:space="preserve">, подлежащих </w:t>
      </w:r>
      <w:r>
        <w:rPr>
          <w:rFonts w:ascii="Times New Roman" w:hAnsi="Times New Roman"/>
          <w:sz w:val="28"/>
          <w:szCs w:val="28"/>
          <w:highlight w:val="none"/>
        </w:rPr>
        <w:t xml:space="preserve"> оборудованию (реконструкции) </w:t>
      </w:r>
      <w:r>
        <w:rPr>
          <w:rFonts w:ascii="Times New Roman" w:hAnsi="Times New Roman"/>
          <w:sz w:val="28"/>
          <w:szCs w:val="28"/>
          <w:highlight w:val="none"/>
        </w:rPr>
        <w:t xml:space="preserve">системами пожарной сигнализации,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обеспечивающих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</w:t>
      </w:r>
      <w:r>
        <w:rPr>
          <w:rFonts w:ascii="Times New Roman" w:hAnsi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автоматическим дублированием  этих сигналов в подразделение пожарной охраны с использованием системы передачи извещений о пожаре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highlight w:val="none"/>
          <w:shd w:val="clear" w:color="auto" w:fill="ffffff"/>
        </w:rPr>
        <w:t xml:space="preserve">, учитывать технические характеристики системы </w:t>
      </w:r>
      <w:r>
        <w:rPr>
          <w:rFonts w:ascii="Times New Roman" w:hAnsi="Times New Roman"/>
          <w:sz w:val="28"/>
          <w:szCs w:val="28"/>
          <w:highlight w:val="none"/>
        </w:rPr>
        <w:t xml:space="preserve">передачи извещений о пожаре, применяемой </w:t>
      </w:r>
      <w:r>
        <w:rPr>
          <w:rFonts w:ascii="Times New Roman" w:hAnsi="Times New Roman"/>
          <w:sz w:val="28"/>
          <w:szCs w:val="28"/>
          <w:highlight w:val="none"/>
        </w:rPr>
        <w:t xml:space="preserve"> министерством цифрового развития и связи Новосибирской области 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highlight w:val="none"/>
          <w:shd w:val="clear" w:color="auto" w:fill="ffffff"/>
        </w:rPr>
        <w:t xml:space="preserve">для обеспечения совместим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highlight w:val="none"/>
          <w:shd w:val="clear" w:color="auto" w:fill="ffffff"/>
        </w:rPr>
        <w:t xml:space="preserve">ости применяемого на объектах оборудования;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ind w:firstLine="709"/>
        <w:jc w:val="both"/>
        <w:spacing w:after="0" w:line="240" w:lineRule="auto"/>
        <w:rPr>
          <w:rStyle w:val="986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7. Признать утратившим силу 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остановление Правительства Новосибирской области от 11.08.2011 № 341-п «О мероприятиях по внедрению системы мониторинга параметров возникновения и развития пожаров, технического состояния систем пожарной сигнализации объектов, расположенных на территории Н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восибирской области» (вместе с «Перечнем категорий объектов, оснащаемых оборудованием системы мониторинга параметров возникновения и развития пожаров, технического состояния систем пожарной сигнализации с передачей сигналов на пункты связи государственного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учреждения «Центр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области», и подразделений федеральной противопожарной слу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жбы по Новосибирской области»)</w:t>
      </w: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986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r>
      <w:r>
        <w:rPr>
          <w:rStyle w:val="986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r>
    </w:p>
    <w:p>
      <w:pPr>
        <w:pStyle w:val="95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98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8. 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Губернатора Новосибирской области С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мку С.Н.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  <w:tab w:val="left" w:pos="1276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  <w:tab w:val="left" w:pos="1276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  <w:tab w:val="left" w:pos="1276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</w:t>
      </w: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  <w:t xml:space="preserve">Е.Г. Назаров</w:t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  <w:t xml:space="preserve">238 76 04</w:t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956"/>
        <w:spacing w:after="0" w:line="240" w:lineRule="auto"/>
        <w:rPr>
          <w:rFonts w:ascii="Times New Roman" w:hAnsi="Times New Roman"/>
          <w:sz w:val="20"/>
          <w:szCs w:val="20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5" w:h="16838" w:orient="portrait"/>
          <w:pgMar w:top="1134" w:right="567" w:bottom="1134" w:left="1418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hd w:val="nil" w:color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6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</w:pPr>
      <w:r/>
      <w:r/>
    </w:p>
    <w:p>
      <w:pPr>
        <w:pStyle w:val="966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дублирования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игналов о возникновении пожара в подразделения пожарной охраны на территории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4"/>
        <w:ind w:firstLine="540"/>
        <w:jc w:val="both"/>
      </w:pPr>
      <w:r/>
      <w:r/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Порядок устанавливает механизм организации дублирования </w:t>
      </w:r>
      <w:r>
        <w:rPr>
          <w:rFonts w:ascii="Times New Roman" w:hAnsi="Times New Roman" w:cs="Times New Roman"/>
          <w:sz w:val="28"/>
          <w:szCs w:val="28"/>
        </w:rPr>
        <w:t xml:space="preserve">световых и звуковых сигналов о возникновении пожара </w:t>
      </w:r>
      <w:r>
        <w:rPr>
          <w:rFonts w:ascii="Times New Roman" w:hAnsi="Times New Roman" w:cs="Times New Roman"/>
          <w:sz w:val="28"/>
          <w:szCs w:val="28"/>
        </w:rPr>
        <w:t xml:space="preserve">в подразделение пожарной охраны с использованием системы передачи извещений о пожаре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соответствии счастью 7 статьи 83 </w:t>
      </w:r>
      <w:r>
        <w:rPr>
          <w:rFonts w:ascii="Times New Roman" w:hAnsi="Times New Roman"/>
          <w:sz w:val="28"/>
          <w:szCs w:val="28"/>
        </w:rPr>
        <w:t xml:space="preserve">Федерального закона от 22.07.2008 № 123-ФЗ «Технический регламент о требованиях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Технический регламент).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не регулирует отношения, связанные с организацией договорных отношений между предприятие</w:t>
      </w:r>
      <w:r>
        <w:rPr>
          <w:rFonts w:ascii="Times New Roman" w:hAnsi="Times New Roman" w:cs="Times New Roman"/>
          <w:sz w:val="28"/>
          <w:szCs w:val="28"/>
        </w:rPr>
        <w:t xml:space="preserve">м - производителем систем пожарной сигнализации, объектами защиты, обслуживающими и мониторинговыми организациями, проведением контрольных и надзорных мероприятий в области пожарной безопасности, а также техническим состоянием систем пожарной сигнализации.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настоящем Порядке используются основные понятия, установленные Техническим регламентом, нормативными правовыми актами Российской Федерации по пожарной безопасности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нормативных документов по пожарной безопасности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Дублирование световых и звуковых сигналов о возникновении пожара в подразделение пожарной охраны в соответствии с Техническим регламентом </w:t>
      </w:r>
      <w:r>
        <w:rPr>
          <w:rFonts w:ascii="Times New Roman" w:hAnsi="Times New Roman" w:cs="Times New Roman"/>
          <w:sz w:val="28"/>
          <w:szCs w:val="28"/>
        </w:rPr>
        <w:t xml:space="preserve">должно быть обеспечено в зданиях классов функциональной пожарной опасности </w:t>
      </w:r>
      <w:hyperlink r:id="rId15" w:tooltip="https://login.consultant.ru/link/?req=doc&amp;base=LAW&amp;n=465775&amp;dst=109" w:history="1">
        <w:r>
          <w:rPr>
            <w:rFonts w:ascii="Times New Roman" w:hAnsi="Times New Roman" w:cs="Times New Roman"/>
            <w:sz w:val="28"/>
            <w:szCs w:val="28"/>
          </w:rPr>
          <w:t xml:space="preserve">Ф1.1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65775&amp;dst=110" w:history="1">
        <w:r>
          <w:rPr>
            <w:rFonts w:ascii="Times New Roman" w:hAnsi="Times New Roman" w:cs="Times New Roman"/>
            <w:sz w:val="28"/>
            <w:szCs w:val="28"/>
          </w:rPr>
          <w:t xml:space="preserve">Ф1.2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65775&amp;dst=3" w:history="1">
        <w:r>
          <w:rPr>
            <w:rFonts w:ascii="Times New Roman" w:hAnsi="Times New Roman" w:cs="Times New Roman"/>
            <w:sz w:val="28"/>
            <w:szCs w:val="28"/>
          </w:rPr>
          <w:t xml:space="preserve">Ф4.1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65775&amp;dst=4" w:history="1">
        <w:r>
          <w:rPr>
            <w:rFonts w:ascii="Times New Roman" w:hAnsi="Times New Roman" w:cs="Times New Roman"/>
            <w:sz w:val="28"/>
            <w:szCs w:val="28"/>
          </w:rPr>
          <w:t xml:space="preserve">Ф4.2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соответствии с положениями </w:t>
      </w:r>
      <w:hyperlink r:id="rId19" w:tooltip="https://login.consultant.ru/link/?req=doc&amp;base=LAW&amp;n=465775&amp;dst=101980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Технического регламента, являющихся объектами защиты (далее - объекты защиты).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Автоматическое дублирование световых и звуковых сигналов о возникно</w:t>
      </w:r>
      <w:r>
        <w:rPr>
          <w:rFonts w:ascii="Times New Roman" w:hAnsi="Times New Roman" w:cs="Times New Roman"/>
          <w:sz w:val="28"/>
          <w:szCs w:val="28"/>
        </w:rPr>
        <w:t xml:space="preserve">вении пожара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осуществляться серверным оборудованием, расположенном в </w:t>
      </w:r>
      <w:r>
        <w:rPr>
          <w:rFonts w:ascii="Times New Roman" w:hAnsi="Times New Roman"/>
          <w:sz w:val="28"/>
          <w:szCs w:val="28"/>
        </w:rPr>
        <w:t xml:space="preserve">государственном бюджетном учреждении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eastAsia="zh-CN" w:bidi="ar-SA"/>
        </w:rPr>
        <w:t xml:space="preserve">«Центр обработки данных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серверных муниципальных образований (или серверных единых дежурно-диспетчерских  служб муниципальных образований)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подразделение пожарной охраны</w:t>
      </w:r>
      <w:r>
        <w:rPr>
          <w:rFonts w:ascii="Times New Roman" w:hAnsi="Times New Roman" w:cs="Times New Roman"/>
          <w:sz w:val="28"/>
          <w:szCs w:val="28"/>
        </w:rPr>
        <w:t xml:space="preserve">, для которого предусмотрено первоочередное направление сил и средств этого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по первому сообщению</w:t>
      </w:r>
      <w:r>
        <w:rPr>
          <w:rFonts w:ascii="Times New Roman" w:hAnsi="Times New Roman" w:cs="Times New Roman"/>
          <w:sz w:val="28"/>
          <w:szCs w:val="28"/>
        </w:rPr>
        <w:t xml:space="preserve"> о пожаре на объекте защиты и которое обеспечено организационно-техническими средствами приема и передачи сообщений о пожаре. Сообщение о пожаре</w:t>
      </w:r>
      <w:r>
        <w:rPr>
          <w:rFonts w:ascii="Times New Roman" w:hAnsi="Times New Roman" w:cs="Times New Roman"/>
          <w:sz w:val="28"/>
          <w:szCs w:val="28"/>
        </w:rPr>
        <w:t xml:space="preserve"> в автоматическом режиме также рекомендуется направлять в единые дежурно-диспетчерские службы ЕДДС городов (районов), на территории которого расположен соответствующий объект защиты и на </w:t>
      </w:r>
      <w:r>
        <w:rPr>
          <w:rFonts w:ascii="Times New Roman" w:hAnsi="Times New Roman" w:cs="Times New Roman"/>
          <w:sz w:val="28"/>
          <w:szCs w:val="28"/>
        </w:rPr>
        <w:t xml:space="preserve">прибор пультовой оконечный </w:t>
      </w:r>
      <w:r>
        <w:rPr>
          <w:rFonts w:ascii="Times New Roman" w:hAnsi="Times New Roman" w:cs="Times New Roman"/>
          <w:sz w:val="28"/>
          <w:szCs w:val="28"/>
        </w:rPr>
        <w:t xml:space="preserve">системы передачи извещений о пожаре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установленный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государственном бюджетном учреждении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eastAsia="zh-CN" w:bidi="ar-SA"/>
        </w:rPr>
        <w:t xml:space="preserve">«Центр обработки данных Новосибирской области»</w:t>
      </w:r>
      <w:r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5. </w:t>
      </w:r>
      <w:r>
        <w:rPr>
          <w:rFonts w:ascii="Times New Roman" w:hAnsi="Times New Roman" w:cs="Times New Roman"/>
          <w:sz w:val="28"/>
          <w:szCs w:val="28"/>
        </w:rPr>
        <w:t xml:space="preserve">В отношении объектов защиты допускается использование любых средств</w:t>
      </w:r>
      <w:r>
        <w:rPr>
          <w:rFonts w:ascii="Times New Roman" w:hAnsi="Times New Roman" w:cs="Times New Roman"/>
          <w:sz w:val="28"/>
          <w:szCs w:val="28"/>
        </w:rPr>
        <w:t xml:space="preserve"> связи и передающего оборудования различных производителей (в том числе и ранее смонтированного), исключающих передачу ложных тревожных сообщений и контролирующих исправность систем передачи извещений о пожаре при дублировании световых и звуковых сигналов.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организации связи между объектом защиты и подразделением пожарной охраны по GSM-каналу следует использовать телефонные номера не менее двух операторов.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Процессу вывода световых и звуковых сигналов о возникновении пожара в подразде</w:t>
      </w:r>
      <w:r>
        <w:rPr>
          <w:rFonts w:ascii="Times New Roman" w:hAnsi="Times New Roman" w:cs="Times New Roman"/>
          <w:sz w:val="28"/>
          <w:szCs w:val="28"/>
        </w:rPr>
        <w:t xml:space="preserve">ление пожарной охраны должен предшествовать запрос собственника объекта защиты по установленной форме в </w:t>
      </w:r>
      <w:r>
        <w:rPr>
          <w:rFonts w:ascii="Times New Roman" w:hAnsi="Times New Roman"/>
          <w:sz w:val="28"/>
          <w:szCs w:val="28"/>
        </w:rPr>
        <w:t xml:space="preserve">государственное бюджетное учреждение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eastAsia="zh-CN" w:bidi="ar-SA"/>
        </w:rPr>
        <w:t xml:space="preserve">«Центр обработки данных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подразделении пожарной охраны, для которого предусмотрено первоочередное направление сил и средств этого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по первому сообщению</w:t>
      </w:r>
      <w:r>
        <w:rPr>
          <w:rFonts w:ascii="Times New Roman" w:hAnsi="Times New Roman" w:cs="Times New Roman"/>
          <w:sz w:val="28"/>
          <w:szCs w:val="28"/>
        </w:rPr>
        <w:t xml:space="preserve"> о пожаре на объекте защиты;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технических условиях, необходимых для приема световых и звуковых сигналов о возникновении пожара подразделением пожарной охраны;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доступных линиях связи для приема и передачи световых и звуковых сигналов о возникновении пожара с объекта защиты в подразделение пожарной охраны.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8. </w:t>
      </w:r>
      <w:r>
        <w:rPr>
          <w:rFonts w:ascii="Times New Roman" w:hAnsi="Times New Roman"/>
          <w:sz w:val="28"/>
          <w:szCs w:val="28"/>
        </w:rPr>
        <w:t xml:space="preserve">Государственное бюджетное учреждение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eastAsia="zh-CN" w:bidi="ar-SA"/>
        </w:rPr>
        <w:t xml:space="preserve">«Центр обработки данных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в срок, не превышающий 10 рабочих дней, представлять заявителям требуемую информацию и обеспечить подключение объекта защиты к </w:t>
      </w:r>
      <w:r>
        <w:rPr>
          <w:rFonts w:ascii="Times New Roman" w:hAnsi="Times New Roman" w:cs="Times New Roman"/>
          <w:sz w:val="28"/>
          <w:szCs w:val="28"/>
        </w:rPr>
        <w:t xml:space="preserve">прибору пультовому оконечному </w:t>
      </w:r>
      <w:r>
        <w:rPr>
          <w:rFonts w:ascii="Times New Roman" w:hAnsi="Times New Roman" w:cs="Times New Roman"/>
          <w:sz w:val="28"/>
          <w:szCs w:val="28"/>
        </w:rPr>
        <w:t xml:space="preserve">системы передачи извещений о пожаре</w:t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9. </w:t>
      </w:r>
      <w:r>
        <w:rPr>
          <w:rFonts w:ascii="Times New Roman" w:hAnsi="Times New Roman" w:cs="Times New Roman"/>
          <w:sz w:val="28"/>
          <w:szCs w:val="28"/>
        </w:rPr>
        <w:t xml:space="preserve">Сигнал о возникновении пожара должен поступать одновременно на прибор приемно-контрольный пожарный, устанавливаемый в помещении дежурного персонала, или на специальные выносные устройства оповещения и в подразделение пожарной охраны.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10. 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Оборудование, предназначенн</w:t>
      </w:r>
      <w:r>
        <w:rPr>
          <w:rFonts w:ascii="Times New Roman" w:hAnsi="Times New Roman" w:cs="Times New Roman"/>
          <w:sz w:val="28"/>
          <w:szCs w:val="28"/>
        </w:rPr>
        <w:t xml:space="preserve">ое для использования для дублирования световых и звуковых сигналов о возникновении пожара в подразделение пожарной охраны, должно соответствовать требованиям нормативных правовых актов Российской Федерации и нормативных документов по пожарной безопасности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11. </w:t>
      </w:r>
      <w:r>
        <w:rPr>
          <w:rFonts w:ascii="Times New Roman" w:hAnsi="Times New Roman" w:cs="Times New Roman"/>
          <w:sz w:val="28"/>
          <w:szCs w:val="28"/>
        </w:rPr>
        <w:t xml:space="preserve">Монтаж, техническое обслуживание и ремонт оборудования, предназначенного для использования для дублир</w:t>
      </w:r>
      <w:r>
        <w:rPr>
          <w:rFonts w:ascii="Times New Roman" w:hAnsi="Times New Roman" w:cs="Times New Roman"/>
          <w:sz w:val="28"/>
          <w:szCs w:val="28"/>
        </w:rPr>
        <w:t xml:space="preserve">ования световых и звуковых сигналов о возникновении пожара в подразделение пожарной охраны, осуществляются юридическими лицами или индивидуальными предпринимателями, имеющими лицензии на осуществление данных видов деятельности в соответствии с Федеральным </w:t>
      </w:r>
      <w:hyperlink r:id="rId20" w:tooltip="https://login.consultant.ru/link/?req=doc&amp;base=LAW&amp;n=451852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12. Лица, виновные в невыполнении требований по дублированию световых и звуковых сигналов о возникновении пожара в подразделение пожарной охраны, несут ответственность, установленную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5" w:h="16838" w:orient="portrait"/>
      <w:pgMar w:top="1134" w:right="567" w:bottom="1134" w:left="1418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7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7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74"/>
      <w:jc w:val="center"/>
      <w:rPr>
        <w:sz w:val="28"/>
        <w:szCs w:val="28"/>
      </w:rPr>
    </w:pPr>
    <w:r>
      <w:rPr>
        <w:rFonts w:ascii="Times New Roman" w:hAnsi="Times New Roman"/>
        <w:sz w:val="20"/>
        <w:szCs w:val="20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7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7"/>
  </w:num>
  <w:num w:numId="5">
    <w:abstractNumId w:val="15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18"/>
  </w:num>
  <w:num w:numId="12">
    <w:abstractNumId w:val="11"/>
  </w:num>
  <w:num w:numId="13">
    <w:abstractNumId w:val="6"/>
  </w:num>
  <w:num w:numId="14">
    <w:abstractNumId w:val="13"/>
  </w:num>
  <w:num w:numId="15">
    <w:abstractNumId w:val="2"/>
  </w:num>
  <w:num w:numId="16">
    <w:abstractNumId w:val="1"/>
  </w:num>
  <w:num w:numId="17">
    <w:abstractNumId w:val="19"/>
  </w:num>
  <w:num w:numId="18">
    <w:abstractNumId w:val="12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>
    <w:name w:val="Heading 1"/>
    <w:basedOn w:val="956"/>
    <w:next w:val="956"/>
    <w:link w:val="7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9">
    <w:name w:val="Heading 1 Char"/>
    <w:link w:val="778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6"/>
    <w:next w:val="956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6"/>
    <w:next w:val="956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6"/>
    <w:next w:val="956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6"/>
    <w:next w:val="956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6"/>
    <w:next w:val="956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6"/>
    <w:next w:val="956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6"/>
    <w:next w:val="956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6"/>
    <w:next w:val="956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956"/>
    <w:uiPriority w:val="34"/>
    <w:qFormat/>
    <w:pPr>
      <w:contextualSpacing/>
      <w:ind w:left="720"/>
    </w:pPr>
  </w:style>
  <w:style w:type="paragraph" w:styleId="797">
    <w:name w:val="No Spacing"/>
    <w:uiPriority w:val="1"/>
    <w:qFormat/>
    <w:pPr>
      <w:spacing w:before="0" w:after="0" w:line="240" w:lineRule="auto"/>
    </w:pPr>
  </w:style>
  <w:style w:type="paragraph" w:styleId="798">
    <w:name w:val="Title"/>
    <w:basedOn w:val="956"/>
    <w:next w:val="956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>
    <w:name w:val="Title Char"/>
    <w:link w:val="798"/>
    <w:uiPriority w:val="10"/>
    <w:rPr>
      <w:sz w:val="48"/>
      <w:szCs w:val="48"/>
    </w:rPr>
  </w:style>
  <w:style w:type="paragraph" w:styleId="800">
    <w:name w:val="Subtitle"/>
    <w:basedOn w:val="956"/>
    <w:next w:val="956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>
    <w:name w:val="Subtitle Char"/>
    <w:link w:val="800"/>
    <w:uiPriority w:val="11"/>
    <w:rPr>
      <w:sz w:val="24"/>
      <w:szCs w:val="24"/>
    </w:rPr>
  </w:style>
  <w:style w:type="paragraph" w:styleId="802">
    <w:name w:val="Quote"/>
    <w:basedOn w:val="956"/>
    <w:next w:val="956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56"/>
    <w:next w:val="956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paragraph" w:styleId="806">
    <w:name w:val="Header"/>
    <w:basedOn w:val="956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Header Char"/>
    <w:link w:val="806"/>
    <w:uiPriority w:val="99"/>
  </w:style>
  <w:style w:type="paragraph" w:styleId="808">
    <w:name w:val="Footer"/>
    <w:basedOn w:val="956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>
    <w:name w:val="Footer Char"/>
    <w:link w:val="808"/>
    <w:uiPriority w:val="99"/>
  </w:style>
  <w:style w:type="paragraph" w:styleId="810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808"/>
    <w:uiPriority w:val="99"/>
  </w:style>
  <w:style w:type="table" w:styleId="8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next w:val="956"/>
    <w:link w:val="95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957">
    <w:name w:val="Заголовок 1"/>
    <w:basedOn w:val="956"/>
    <w:next w:val="956"/>
    <w:link w:val="985"/>
    <w:uiPriority w:val="9"/>
    <w:qFormat/>
    <w:pPr>
      <w:keepLines/>
      <w:keepNext/>
      <w:spacing w:before="24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58">
    <w:name w:val="Заголовок 2"/>
    <w:basedOn w:val="956"/>
    <w:next w:val="956"/>
    <w:link w:val="983"/>
    <w:uiPriority w:val="9"/>
    <w:unhideWhenUsed/>
    <w:qFormat/>
    <w:pPr>
      <w:keepLines/>
      <w:keepNext/>
      <w:spacing w:before="40" w:after="0"/>
      <w:outlineLvl w:val="1"/>
    </w:pPr>
    <w:rPr>
      <w:rFonts w:ascii="Calibri Light" w:hAnsi="Calibri Light" w:eastAsia="Times New Roman" w:cs="Times New Roman"/>
      <w:color w:val="2e74b5"/>
      <w:sz w:val="26"/>
      <w:szCs w:val="26"/>
    </w:rPr>
  </w:style>
  <w:style w:type="paragraph" w:styleId="959">
    <w:name w:val="Заголовок 3"/>
    <w:basedOn w:val="956"/>
    <w:next w:val="956"/>
    <w:link w:val="984"/>
    <w:uiPriority w:val="9"/>
    <w:unhideWhenUsed/>
    <w:qFormat/>
    <w:pPr>
      <w:keepLines/>
      <w:keepNext/>
      <w:spacing w:before="40" w:after="0"/>
      <w:outlineLvl w:val="2"/>
    </w:pPr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960">
    <w:name w:val="Основной шрифт абзаца"/>
    <w:next w:val="960"/>
    <w:link w:val="956"/>
    <w:uiPriority w:val="1"/>
    <w:semiHidden/>
    <w:unhideWhenUsed/>
  </w:style>
  <w:style w:type="table" w:styleId="961">
    <w:name w:val="Обычная таблица"/>
    <w:next w:val="961"/>
    <w:link w:val="956"/>
    <w:uiPriority w:val="99"/>
    <w:semiHidden/>
    <w:unhideWhenUsed/>
    <w:tblPr/>
  </w:style>
  <w:style w:type="numbering" w:styleId="962">
    <w:name w:val="Нет списка"/>
    <w:next w:val="962"/>
    <w:link w:val="956"/>
    <w:uiPriority w:val="99"/>
    <w:semiHidden/>
    <w:unhideWhenUsed/>
  </w:style>
  <w:style w:type="paragraph" w:styleId="963">
    <w:name w:val="Абзац списка"/>
    <w:basedOn w:val="956"/>
    <w:next w:val="963"/>
    <w:link w:val="956"/>
    <w:uiPriority w:val="34"/>
    <w:qFormat/>
    <w:pPr>
      <w:contextualSpacing/>
      <w:ind w:left="720"/>
    </w:pPr>
  </w:style>
  <w:style w:type="paragraph" w:styleId="964">
    <w:name w:val="ConsPlusNormal"/>
    <w:next w:val="964"/>
    <w:link w:val="956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65">
    <w:name w:val="ConsPlusNonformat"/>
    <w:next w:val="965"/>
    <w:link w:val="95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66">
    <w:name w:val="ConsPlusTitle"/>
    <w:next w:val="966"/>
    <w:link w:val="95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table" w:styleId="967">
    <w:name w:val="Сетка таблицы"/>
    <w:basedOn w:val="961"/>
    <w:next w:val="967"/>
    <w:link w:val="956"/>
    <w:uiPriority w:val="39"/>
    <w:pPr>
      <w:spacing w:after="0" w:line="240" w:lineRule="auto"/>
    </w:pPr>
    <w:tblPr/>
  </w:style>
  <w:style w:type="character" w:styleId="968">
    <w:name w:val="Гиперссылка"/>
    <w:next w:val="968"/>
    <w:link w:val="956"/>
    <w:uiPriority w:val="99"/>
    <w:unhideWhenUsed/>
    <w:rPr>
      <w:color w:val="0563c1"/>
      <w:u w:val="single"/>
    </w:rPr>
  </w:style>
  <w:style w:type="paragraph" w:styleId="969">
    <w:name w:val="Текст выноски"/>
    <w:basedOn w:val="956"/>
    <w:next w:val="969"/>
    <w:link w:val="9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70">
    <w:name w:val="Текст выноски Знак"/>
    <w:next w:val="970"/>
    <w:link w:val="969"/>
    <w:uiPriority w:val="99"/>
    <w:semiHidden/>
    <w:rPr>
      <w:rFonts w:ascii="Segoe UI" w:hAnsi="Segoe UI" w:cs="Segoe UI"/>
      <w:sz w:val="18"/>
      <w:szCs w:val="18"/>
    </w:rPr>
  </w:style>
  <w:style w:type="paragraph" w:styleId="971">
    <w:name w:val="Обычный (веб)"/>
    <w:basedOn w:val="956"/>
    <w:next w:val="971"/>
    <w:link w:val="9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ConsPlusCell"/>
    <w:next w:val="972"/>
    <w:link w:val="956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3">
    <w:name w:val="Маркированный список"/>
    <w:basedOn w:val="956"/>
    <w:next w:val="973"/>
    <w:link w:val="956"/>
    <w:uiPriority w:val="99"/>
    <w:unhideWhenUsed/>
    <w:pPr>
      <w:numPr>
        <w:ilvl w:val="0"/>
        <w:numId w:val="7"/>
      </w:numPr>
      <w:contextualSpacing/>
    </w:pPr>
  </w:style>
  <w:style w:type="paragraph" w:styleId="974">
    <w:name w:val="Верхний колонтитул"/>
    <w:basedOn w:val="956"/>
    <w:next w:val="974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>
    <w:name w:val="Верхний колонтитул Знак"/>
    <w:basedOn w:val="960"/>
    <w:next w:val="975"/>
    <w:link w:val="974"/>
    <w:uiPriority w:val="99"/>
  </w:style>
  <w:style w:type="paragraph" w:styleId="976">
    <w:name w:val="Нижний колонтитул"/>
    <w:basedOn w:val="956"/>
    <w:next w:val="976"/>
    <w:link w:val="9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7">
    <w:name w:val="Нижний колонтитул Знак"/>
    <w:basedOn w:val="960"/>
    <w:next w:val="977"/>
    <w:link w:val="976"/>
    <w:uiPriority w:val="99"/>
  </w:style>
  <w:style w:type="character" w:styleId="978">
    <w:name w:val="Знак примечания"/>
    <w:next w:val="978"/>
    <w:link w:val="956"/>
    <w:uiPriority w:val="99"/>
    <w:semiHidden/>
    <w:unhideWhenUsed/>
    <w:rPr>
      <w:sz w:val="16"/>
      <w:szCs w:val="16"/>
    </w:rPr>
  </w:style>
  <w:style w:type="paragraph" w:styleId="979">
    <w:name w:val="Текст примечания"/>
    <w:basedOn w:val="956"/>
    <w:next w:val="979"/>
    <w:link w:val="98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80">
    <w:name w:val="Текст примечания Знак"/>
    <w:next w:val="980"/>
    <w:link w:val="979"/>
    <w:uiPriority w:val="99"/>
    <w:semiHidden/>
    <w:rPr>
      <w:sz w:val="20"/>
      <w:szCs w:val="20"/>
    </w:rPr>
  </w:style>
  <w:style w:type="paragraph" w:styleId="981">
    <w:name w:val="Тема примечания"/>
    <w:basedOn w:val="979"/>
    <w:next w:val="979"/>
    <w:link w:val="982"/>
    <w:uiPriority w:val="99"/>
    <w:semiHidden/>
    <w:unhideWhenUsed/>
    <w:rPr>
      <w:b/>
      <w:bCs/>
    </w:rPr>
  </w:style>
  <w:style w:type="character" w:styleId="982">
    <w:name w:val="Тема примечания Знак"/>
    <w:next w:val="982"/>
    <w:link w:val="981"/>
    <w:uiPriority w:val="99"/>
    <w:semiHidden/>
    <w:rPr>
      <w:b/>
      <w:bCs/>
      <w:sz w:val="20"/>
      <w:szCs w:val="20"/>
    </w:rPr>
  </w:style>
  <w:style w:type="character" w:styleId="983">
    <w:name w:val="Заголовок 2 Знак"/>
    <w:next w:val="983"/>
    <w:link w:val="958"/>
    <w:uiPriority w:val="9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984">
    <w:name w:val="Заголовок 3 Знак"/>
    <w:next w:val="984"/>
    <w:link w:val="959"/>
    <w:uiPriority w:val="9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985">
    <w:name w:val="Заголовок 1 Знак"/>
    <w:next w:val="985"/>
    <w:link w:val="957"/>
    <w:uiPriority w:val="9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986">
    <w:name w:val="Строгий"/>
    <w:next w:val="986"/>
    <w:link w:val="956"/>
    <w:uiPriority w:val="22"/>
    <w:qFormat/>
    <w:rPr>
      <w:b/>
      <w:bCs/>
    </w:rPr>
  </w:style>
  <w:style w:type="paragraph" w:styleId="987">
    <w:name w:val="Рецензия"/>
    <w:next w:val="987"/>
    <w:link w:val="956"/>
    <w:hidden/>
    <w:uiPriority w:val="99"/>
    <w:semiHidden/>
    <w:rPr>
      <w:sz w:val="22"/>
      <w:szCs w:val="22"/>
      <w:lang w:val="ru-RU" w:eastAsia="en-US" w:bidi="ar-SA"/>
    </w:rPr>
  </w:style>
  <w:style w:type="character" w:styleId="988" w:default="1">
    <w:name w:val="Default Paragraph Font"/>
    <w:uiPriority w:val="1"/>
    <w:semiHidden/>
    <w:unhideWhenUsed/>
  </w:style>
  <w:style w:type="numbering" w:styleId="989" w:default="1">
    <w:name w:val="No List"/>
    <w:uiPriority w:val="99"/>
    <w:semiHidden/>
    <w:unhideWhenUsed/>
  </w:style>
  <w:style w:type="table" w:styleId="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65775&amp;dst=109" TargetMode="External"/><Relationship Id="rId16" Type="http://schemas.openxmlformats.org/officeDocument/2006/relationships/hyperlink" Target="https://login.consultant.ru/link/?req=doc&amp;base=LAW&amp;n=465775&amp;dst=110" TargetMode="External"/><Relationship Id="rId17" Type="http://schemas.openxmlformats.org/officeDocument/2006/relationships/hyperlink" Target="https://login.consultant.ru/link/?req=doc&amp;base=LAW&amp;n=465775&amp;dst=3" TargetMode="External"/><Relationship Id="rId18" Type="http://schemas.openxmlformats.org/officeDocument/2006/relationships/hyperlink" Target="https://login.consultant.ru/link/?req=doc&amp;base=LAW&amp;n=465775&amp;dst=4" TargetMode="External"/><Relationship Id="rId19" Type="http://schemas.openxmlformats.org/officeDocument/2006/relationships/hyperlink" Target="https://login.consultant.ru/link/?req=doc&amp;base=LAW&amp;n=465775&amp;dst=101980" TargetMode="External"/><Relationship Id="rId20" Type="http://schemas.openxmlformats.org/officeDocument/2006/relationships/hyperlink" Target="https://login.consultant.ru/link/?req=doc&amp;base=LAW&amp;n=45185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Правительство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revision>12</cp:revision>
  <dcterms:created xsi:type="dcterms:W3CDTF">2021-08-06T03:57:00Z</dcterms:created>
  <dcterms:modified xsi:type="dcterms:W3CDTF">2024-07-31T10:28:18Z</dcterms:modified>
  <cp:version>1048576</cp:version>
</cp:coreProperties>
</file>