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45"/>
        <w:gridCol w:w="5046"/>
      </w:tblGrid>
      <w:tr>
        <w:tblPrEx/>
        <w:trPr>
          <w:trHeight w:val="16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5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 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                                                                      к приказу министерства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здравоохранения                                                                                      Новосибирской области                                                                                 от____________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 №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___________</w:t>
            </w:r>
            <w:r>
              <w:rPr>
                <w:rFonts w:ascii="Times New Roman" w:hAnsi="Times New Roman" w:eastAsia="Times New Roman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u w:val="single"/>
                <w:lang w:eastAsia="ru-RU"/>
              </w:rPr>
            </w:r>
          </w:p>
          <w:p>
            <w:pPr>
              <w:pStyle w:val="850"/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50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Описание объекта закупки на оказание 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слуг по сбору и обобщению информации о качестве условий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1. Общие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положения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Наименование объекта закупки: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оказание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услуг по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сбору и обобщению информации 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качеств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условий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(далее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Услуга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независимая оценка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66"/>
        <w:ind w:firstLine="709"/>
        <w:jc w:val="both"/>
        <w:widowControl w:val="o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Место оказания Услуг: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Российская Федерация,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Новосибирская область (</w:t>
      </w:r>
      <w:r>
        <w:rPr>
          <w:sz w:val="28"/>
          <w:szCs w:val="28"/>
        </w:rPr>
        <w:t xml:space="preserve">по месту нахождения медицинских организаций, в отношении которых проводятся сбор и обобщение информации о качестве условий оказания услуг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).</w:t>
      </w: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Источник финансирования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областной бюджет Новосибирской области в рамках </w:t>
      </w:r>
      <w:r>
        <w:rPr>
          <w:rFonts w:ascii="Times New Roman" w:hAnsi="Times New Roman"/>
          <w:sz w:val="28"/>
          <w:szCs w:val="28"/>
        </w:rPr>
        <w:t xml:space="preserve">государственной программы «Развитие здравоохранения Новосибирской области»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утвержденной постановлением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07.05.2013 № 199-п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Заказчик Услуг: министерство здравоохранения Новосибирской области.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Срок оказания Услуг: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 момента заключения Контракта до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22 ноября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 года.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6. </w:t>
      </w:r>
      <w:r>
        <w:rPr>
          <w:rFonts w:ascii="Times New Roman" w:hAnsi="Times New Roman"/>
          <w:sz w:val="28"/>
          <w:szCs w:val="28"/>
        </w:rPr>
        <w:t xml:space="preserve">Сбор и обобщение информации о качестве условий оказания услуг медицинскими организациями,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</w:t>
      </w:r>
      <w:r>
        <w:rPr>
          <w:rFonts w:ascii="Times New Roman" w:hAnsi="Times New Roman"/>
          <w:sz w:val="28"/>
          <w:szCs w:val="28"/>
        </w:rPr>
        <w:t xml:space="preserve">, проводятся в рамках независимой оценки в соответствии 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 Федеральным законом от 21.11.2011 № 323-ФЗ «Об основах охраны здоровья граждан в Российской Федерации»;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Федеральным законом от 21.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07.2014 № 256-ФЗ «О внесении изменений в отдельные законодательные акты Российской Федерации по вопросам проведения независимой оценки качества условий оказания услуг организациями в сфере культуры, социального обслуживания, охраны здоровья и образования»;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3) </w:t>
      </w:r>
      <w:r>
        <w:rPr>
          <w:sz w:val="28"/>
          <w:szCs w:val="28"/>
        </w:rPr>
        <w:t xml:space="preserve">Федеральным законом от 05 декабря 2017 года № 392-ФЗ «О внесении изменений в отдельные законодательные акты Ро</w:t>
      </w:r>
      <w:r>
        <w:rPr>
          <w:sz w:val="28"/>
          <w:szCs w:val="28"/>
        </w:rPr>
        <w:t xml:space="preserve">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 постановлением Правительства Российской Феде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рации от 31.05.2018 № 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(далее - Постановление от 21.05.2018 № 638)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 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риказом Министерства здравоохранения Российской Федерации от 04.05.2018 № 201н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(приказ Минздрава России от 05.05.2018 № 201н)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приказом Министерства здравоохранения Российской Федерации от 30.12.2014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956н «Об информации, 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 (далее – приказ Минздрава России от 30.12.2014 № 956н);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приказом Министерства здравоохранения Российской Федерации от 13.07.2018 № 442 «Об организации работы по обеспе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чению технической возможности выражения мнений пациентами о качестве условий оказания услуг медицинскими организациями на официальном сайте Министерства здравоохранения Российской Федерации в сети «Интернет» (далее - приказ Минздрава России от 13.07.2018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442);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8) приказом Министерства труда и социальной защиты Российской Федерации от 31.05.2018 № 344н «Об утверждении Единого порядка расчета показателей, характеризующ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(далее - приказ Минтруда России от 31.05.2018 № 344н);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9) приказом Министерства труда и социальной защиты Российской Федерации от 30</w:t>
      </w:r>
      <w:r>
        <w:rPr>
          <w:sz w:val="28"/>
          <w:szCs w:val="28"/>
        </w:rPr>
        <w:t xml:space="preserve">.10.2018 № 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sz w:val="28"/>
          <w:szCs w:val="28"/>
        </w:rPr>
        <w:t xml:space="preserve"> (далее – приказ Минтруда России от 30.10.2018 № 675н);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10) постановлением Правительства Новосибирской области от 27.12.2023 № 656-п «О Территориальной программе государственных гарантий бесплатного оказания гражданам медицинской помощи в Новосибирской области на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6 годов»;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11) приказом министерства здравоохранения Новосибирской области от</w:t>
      </w:r>
      <w:r>
        <w:rPr>
          <w:sz w:val="28"/>
          <w:szCs w:val="28"/>
        </w:rPr>
        <w:t xml:space="preserve"> 24.05.2016 № 1377 «О проведении независимой оценки качества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12) письмом Министерства здравоохранения Российской Федерации от 07.03.2018 № 21-3/10/2-1430 «О Портале независимой оценки качества условий оказания услуг медицинскими организациями».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Характеристика Услуг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Функции независимой оценки качества условий оказания услуг медицинскими организациями: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 обеспечение открытости и доступности информации о медицинской организации и ее деятельности;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ориентирование потребителей медицинской помощи при выборе медицинской организации;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 повышение конкурентоспособности медицинских организаций, осуществляющих медицинскую деятельность на территории Новосибирской области;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 определение медицинских организаций, имеющих затруднения при создании условий оказания услуг населению.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Цели 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задачи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оказания услуг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8. 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Цель. 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66"/>
        <w:ind w:firstLine="709"/>
        <w:jc w:val="both"/>
        <w:widowControl w:val="o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Сбор и обобщение информации о качестве условий оказания услуг медицинскими организациями, расположенными на территории Новосибирской области, в целях проведения независимой оценки. </w:t>
      </w: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9. 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Объектами независимой оценки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являются 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 в Новосибирской области (далее – медицинские организации).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Медицинские организации, в отношении которых проводится независимая оценка в текущем году, определены на заседании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Общественного совета при мини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стерстве здравоохранения Новосибирской области по проведению независимой оценки качества условий оказания услуг медицинскими организациями (далее - Общественный совет по НОК) и утверждены протоколом заседания Общественного совета по НОК (далее - Перечень) </w:t>
      </w:r>
      <w:r>
        <w:rPr>
          <w:rFonts w:ascii="Times New Roman" w:hAnsi="Times New Roman"/>
          <w:sz w:val="28"/>
          <w:szCs w:val="28"/>
        </w:rPr>
        <w:t xml:space="preserve">(протокол 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.02.202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10. </w:t>
      </w:r>
      <w:r>
        <w:rPr>
          <w:b/>
          <w:sz w:val="28"/>
          <w:szCs w:val="28"/>
        </w:rPr>
        <w:t xml:space="preserve">Предмет.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Предметом независимой оценки являются х</w:t>
      </w:r>
      <w:r>
        <w:rPr>
          <w:sz w:val="28"/>
          <w:szCs w:val="28"/>
        </w:rPr>
        <w:t xml:space="preserve">арактеристики условий оказания услуг медицинскими организациями, включая открытость и доступность информации о медицинской организации; комфортность условий предо</w:t>
      </w:r>
      <w:r>
        <w:rPr>
          <w:sz w:val="28"/>
          <w:szCs w:val="28"/>
        </w:rPr>
        <w:t xml:space="preserve">ставления медицинских услуг, в том числе время ожидания предоставления медицинской услуги; доступность медицинских услуг для инвалидов; доброжелательность и вежливость работников медицинской организации; удовлетворенность граждан условиями оказания услуг.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11. </w:t>
      </w:r>
      <w:r>
        <w:rPr>
          <w:b/>
          <w:sz w:val="28"/>
          <w:szCs w:val="28"/>
        </w:rPr>
        <w:t xml:space="preserve">Требования к техническим и качественным характеристикам оказываемых услуг.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осуществляет сбор и обобщение информации о качестве условий оказания услуг медицинскими организациями в соответствии с Правилами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rPr>
          <w:sz w:val="28"/>
          <w:szCs w:val="28"/>
        </w:rPr>
        <w:t xml:space="preserve">, утвержденными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от 31.05.2018 № 638, а также показателями, характеризующими общие критерии оценки качества условий оказания услуг медицинскими организациями, утвержденными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приказом Минздрава России от 05.05.2018 № 201н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Совокупность используемых методов сбора и обобщения информации должна позволить получить информацию по следующим критериям: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открытость и доступность информации о медицинской организации;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 комфортность условий предоставления медицинских услуг, в том числе время ожидания предоставления медицинской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доброжелательность, вежливость работников медицинской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 удовлетворенность граждан условиями оказания услуг;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 доступность медицинских услуг для инвалидов.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Источниками информации о качестве условий оказания услуг медицинскими организациями являются: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 официальные сайты медицинских организаций в информационно-телекоммуникационной сети «Интернет», информационные стенды в помещениях указанных организаций;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 результаты изучения условий оказания услуг медицинскими организациями, включающие: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 наличие и функционирование дистанционных способов обратной связи и взаимодействия с получателями услуг;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 обеспечение комфортных условий предоставления услуг;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в) обеспечение доступности для инвалидов помещений медицинских организаций, прилегающих территорий и предоставляемых услуг;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г) мнение получателей услуг о качестве условий оказания услуг в целях установления удовлетворенности граждан условиями оказания услуг.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67"/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Оценка соответствия информации о деятельности медицинской организации, размещенной на информационных стендах в помещениях медицинской организации и на официальном сайте медицинской организации в информационно-телекоммуникационной сети «Интернет», перечню и</w:t>
      </w:r>
      <w:r>
        <w:rPr>
          <w:rFonts w:eastAsia="Calibri"/>
          <w:sz w:val="28"/>
          <w:szCs w:val="28"/>
          <w:lang w:eastAsia="en-US"/>
        </w:rPr>
        <w:t xml:space="preserve">нформации и требованиям к ней, установленным нормативными правовыми актами, осуществляется Исполнителем с учетом требований приказа </w:t>
      </w:r>
      <w:r>
        <w:rPr>
          <w:rFonts w:eastAsia="Calibri"/>
          <w:sz w:val="28"/>
          <w:szCs w:val="28"/>
          <w:lang w:eastAsia="en-US"/>
        </w:rPr>
        <w:t xml:space="preserve">Минздрава </w:t>
      </w:r>
      <w:r>
        <w:rPr>
          <w:rFonts w:eastAsia="Calibri"/>
          <w:sz w:val="28"/>
          <w:szCs w:val="28"/>
          <w:lang w:eastAsia="en-US"/>
        </w:rPr>
        <w:t xml:space="preserve">Росси</w:t>
      </w:r>
      <w:r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 xml:space="preserve">от30.12.2014 № 956н.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Выявление и обобщение мнения граждан, включая требования к формированию выборочной совокупности респондентов, осуществляются в соответствии с </w:t>
      </w:r>
      <w:r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Минтруда России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30.10.2018 № 675н</w:t>
      </w:r>
      <w:r>
        <w:rPr>
          <w:rFonts w:ascii="Times New Roman" w:hAnsi="Times New Roman"/>
          <w:sz w:val="28"/>
          <w:szCs w:val="28"/>
        </w:rPr>
        <w:t xml:space="preserve">. Выявление мнения граждан о качестве условий оказания услуг медицинскими организациями производится посредством опроса, проводимого в форме анкетирования с использованием интерактивных и бумажных анкет.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Интерактивное анкетирование осуществляется посредством баннеров на официальных сайтах медицинских организаций и </w:t>
      </w:r>
      <w:r>
        <w:rPr>
          <w:rFonts w:ascii="Times New Roman" w:hAnsi="Times New Roman"/>
          <w:sz w:val="28"/>
          <w:szCs w:val="28"/>
        </w:rPr>
        <w:t xml:space="preserve">министерства </w:t>
      </w:r>
      <w:r>
        <w:rPr>
          <w:rFonts w:ascii="Times New Roman" w:hAnsi="Times New Roman"/>
          <w:sz w:val="28"/>
          <w:szCs w:val="28"/>
        </w:rPr>
        <w:t xml:space="preserve">здравоохранения </w:t>
      </w:r>
      <w:r>
        <w:rPr>
          <w:rFonts w:ascii="Times New Roman" w:hAnsi="Times New Roman"/>
          <w:sz w:val="28"/>
          <w:szCs w:val="28"/>
        </w:rPr>
        <w:t xml:space="preserve">Новосибирской </w:t>
      </w:r>
      <w:r>
        <w:rPr>
          <w:rFonts w:ascii="Times New Roman" w:hAnsi="Times New Roman"/>
          <w:sz w:val="28"/>
          <w:szCs w:val="28"/>
        </w:rPr>
        <w:t xml:space="preserve">области, обеспечивающих техническую возможность выражения мнений пациентами о качестве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</w:t>
      </w:r>
      <w:r>
        <w:rPr>
          <w:rFonts w:ascii="Times New Roman" w:hAnsi="Times New Roman"/>
          <w:sz w:val="28"/>
          <w:szCs w:val="28"/>
        </w:rPr>
        <w:t xml:space="preserve">кой помощи, с использованием Анкеты для оценки качества условий оказания услуг медицинскими организациями в амбулаторных условиях и Анкеты для оценки качества условий оказания услуг медицинскими организациями в стационарных условиях, утвержденных приказом </w:t>
      </w:r>
      <w:r>
        <w:rPr>
          <w:rFonts w:ascii="Times New Roman" w:hAnsi="Times New Roman"/>
          <w:sz w:val="28"/>
          <w:szCs w:val="28"/>
        </w:rPr>
        <w:t xml:space="preserve">Минздрава России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13.07.2018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442, без участия Исполнителя.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Анкетирование пациентов (граждан) с использованием бумажных анкет осуществляется Исполнителем в форме личной беседы опрашивающего (интервьюер) с опрашиваемым (респондент).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анкетирования с использованием бумажных</w:t>
      </w:r>
      <w:r>
        <w:rPr>
          <w:rFonts w:ascii="Times New Roman" w:hAnsi="Times New Roman"/>
          <w:sz w:val="28"/>
          <w:szCs w:val="28"/>
        </w:rPr>
        <w:t xml:space="preserve"> анкет Исполнитель применяет Анкету для оценки качества условий оказания услуг медицинскими организациями в амбулаторных условиях и Анкету для оценки качества условий оказания услуг медицинскими организациями в стационарных условиях, утвержденные приказом </w:t>
      </w:r>
      <w:r>
        <w:rPr>
          <w:rFonts w:ascii="Times New Roman" w:hAnsi="Times New Roman"/>
          <w:sz w:val="28"/>
          <w:szCs w:val="28"/>
        </w:rPr>
        <w:t xml:space="preserve">Минздрава России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13.07.2018 № 442.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анкетирования с использован</w:t>
      </w:r>
      <w:r>
        <w:rPr>
          <w:rFonts w:ascii="Times New Roman" w:hAnsi="Times New Roman"/>
          <w:sz w:val="28"/>
          <w:szCs w:val="28"/>
        </w:rPr>
        <w:t xml:space="preserve">ием бумажных анкет в качестве респондентов привлекаются физические лица (18 лет и старше), получившие и (или) получающие медицинскую услугу в медицинской организации, в отношении которой осуществляются сбор и обобщение информации о качестве условий оказани</w:t>
      </w:r>
      <w:r>
        <w:rPr>
          <w:rFonts w:ascii="Times New Roman" w:hAnsi="Times New Roman"/>
          <w:sz w:val="28"/>
          <w:szCs w:val="28"/>
        </w:rPr>
        <w:t xml:space="preserve">я услуг. Для детей (0-17 лет), получивших и (или) получающих медицинскую услугу в медицинской организации, в отношении которой осуществляются сбор и обобщение информации о качестве условий оказания услуг, респондентами являются их законные представители.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проведении анкетирования интервьюер задаёт респонденту вопросы, содержащиеся в анкете, фиксирует ответы респондента в этой анкете (одна анкета на одного респондента).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не принимает заполненную анкету, если интервьюер пропускал или искажал формулировки вопросов; ответы респондентом даны не в соответствии с предусмотренными вариантами ответа; используемые респондентом об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означения не позволяют выявить выбранный им вариант ответа; в иных ситуациях, исключающих возможность однозначного трактования ответов респондента, а также в случаях нарушения логической последовательности ответов на вопросы, предусмотренной формой анкеты.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Каждая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медицинская организация, в отношении которой проводится независимая оценка качества условий оказания услуг, подтверждает факт анкетирования посредством визирования результатов работ уполномоченным на то лицом (главный врач или заместитель главного врача).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Расчет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оценка, осуществляется в соответствии с приказом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Минтруда России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31.05.2018 № 344н.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Исполнитель производит расчет: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значений всех показателей, характеризующих общие критерии оценки качества условий оказания услуг;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показателя оценки качества по каждой медицинской организации (в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амбулаторных условиях);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показателя оценки качества по каждой медицинской организации (в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стационарных условиях);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показателя оценки качества каждой медицинской организации. Если медицинская организация оказывает медицинскую помощь только в стационарных условиях, показатель оценки качества медицинской организации равен расчету показателя оценки качества по ме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дицинской организации (в стационарных условиях). Если медицинская организация оказывает медицинскую помощь только в амбулаторных условиях, показатель оценки качества медицинской организации равен расчету показателя оценки качества по медицинской организаци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(в амбулаторных условиях). Если медицинская организация оказывает медицинскую помощь и в стационарных условиях, и в амбулаторных условиях показатель оценки качества медицинской организации равен сумме показателей (в амбулаторных и стационарных условиях);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показателей оценки качества по каждой медицинской организации в разрезе критериев оценки качества условий оказания услуг;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интегрального показателя независимой оценки качества по отрасли здравоохранения.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12. Требования к используемым методам.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Совокупность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следующих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используемых методов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должна позволить получить достоверную информацию о качестве условий оказания услуг медицинскими организациями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 обработка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нкет на бумажном носителе по утвержденной форме;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оценка работы сайтов медицинских организаций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информационно 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телекоммуникационной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сети «Интернет»;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 оценка информации с информационно-аналитической системы «Мониторинг независимой оценки качества оказания услуг медицинскими организациями».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tabs>
          <w:tab w:val="num" w:pos="0" w:leader="none"/>
        </w:tabs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  <w:t xml:space="preserve">13. И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  <w:t xml:space="preserve">сполнитель несет ответственность перед Заказчиком за неоказание или ненадлежащее оказание услуг.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Исполнитель должен оказать услуги в полном объеме и на условиях, предусмотренных настоящим описанием объекта закупки.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Частичное оказание услуг не допускается.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. Перечень работ и услуг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14. 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Исполнитель должен: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разработать и согласовать с Заказчиком инструментарий и методику сбора информации в соответствии с нормативно правовыми актами;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провести сбор и обобщение информации о качестве условий оказания услуг медицинскими организациями согласно Перечню;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разработать и согласовать с Заказчиком график выездов в медицинские организации;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осуществить 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полевые» исследования с выездом, с привлечением членов общественного совета по независимой оценки качества оказания услуг,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медицинские организации по согласованному графику и провести сбор информации в каждой медицинской организации, включающий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 посещение медицинских организаций с выполнением фотографирования основных показателей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прилегающих территорий,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наличие парковочных мест для лиц с ограниченными возможностями здоровья, входных групп, вывески с наименованием медицинской организации, холлов ожидания, информационных стендов, колясочной, гардероба, туалетных комнат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для лиц с ограниченными возможностями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 организацию анкетирования получателей услуг в медицинских организациях, в количестве не менее 150 человек в каждой медицинской организации.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 провести мониторинг размещенной информации на официальных сайтах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медицинских организаций в информационно-телекоммуникационной сети «Интернет» в соответствии с приказом 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инздрава России 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30.12.2014 №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956н;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провести расчет показателей, характеризующих общие критерии оценки качества условий оказания услуг по каждой медицинской организации в соответствии с приказом Минтруда Росси</w:t>
      </w:r>
      <w:r>
        <w:rPr>
          <w:rFonts w:ascii="Times New Roman" w:hAnsi="Times New Roman"/>
          <w:sz w:val="28"/>
          <w:szCs w:val="28"/>
          <w:lang w:eastAsia="ru-RU"/>
        </w:rPr>
        <w:t xml:space="preserve">и от 31.05.2018 № 344н (далее - </w:t>
      </w:r>
      <w:r>
        <w:rPr>
          <w:rFonts w:ascii="Times New Roman" w:hAnsi="Times New Roman"/>
          <w:sz w:val="28"/>
          <w:szCs w:val="28"/>
          <w:lang w:eastAsia="ru-RU"/>
        </w:rPr>
        <w:t xml:space="preserve">бальные показатели);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non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 внести данные Анкет с бумажных носителей на портал независимой оценки качества условий оказания услуг медицинскими организациями, по адресу: </w:t>
      </w:r>
      <w:r>
        <w:rPr>
          <w:rFonts w:ascii="Times New Roman" w:hAnsi="Times New Roman" w:eastAsia="Times New Roman"/>
          <w:sz w:val="28"/>
          <w:szCs w:val="28"/>
          <w:highlight w:val="white"/>
          <w:lang w:val="en-US" w:eastAsia="ru-RU"/>
        </w:rPr>
        <w:t xml:space="preserve">nok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  <w:lang w:val="en-US" w:eastAsia="ru-RU"/>
        </w:rPr>
        <w:t xml:space="preserve">rosminzdrav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(не менее 150 штук по каждой медицинской организации), а также результаты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независимой оценки по каждой организации -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на</w:t>
      </w:r>
      <w:r>
        <w:rPr>
          <w:rFonts w:ascii="Times New Roman" w:hAnsi="Times New Roman" w:eastAsia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официальный сайт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размещения информации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 (муниципальных)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учреждениях 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u w:val="none"/>
        </w:rPr>
        <w:instrText xml:space="preserve"> HYPERLINK "https://bus.gov.ru" </w:instrTex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  <w:fldChar w:fldCharType="separate"/>
      </w:r>
      <w:r>
        <w:rPr>
          <w:rStyle w:val="1_855"/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https://bus.gov.ru</w:t>
      </w:r>
      <w:r>
        <w:rPr>
          <w:rStyle w:val="1_855"/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  <w:u w:val="none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none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 Подготовить и передать Заказчику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22 ноября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 года: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 скан копии заполненных Анкет по каждой медицинской организации в электронном виде на USB-флэш-накопителе;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 фотоматериалы по каждой медицинской организации с указанием наименования и адреса медицинской организации в электронном виде на USB-флэш-накопителе;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расчеты бальных показателей по каждой медицинской организации;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 на очередное заседание Общественного совета по НОК представить доклад об итогах проведенной работы на бумажном носителе и в виде презентации в слайдах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USB-флэш-накопителе, содержащих аналитический отчет с указанием выявленных проблем в медицинских организациях (необходимо личное участие представителя организации-оператора на заседании Общественного совета по НОК);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 проект предложений по улучшению качества условий оказаний услуг в медицинских организациях.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0"/>
        <w:ind w:firstLine="709"/>
        <w:jc w:val="center"/>
        <w:spacing w:after="0" w:line="240" w:lineRule="auto"/>
        <w:widowControl w:val="off"/>
        <w:rPr>
          <w:rFonts w:ascii="Times New Roman" w:hAnsi="Times New Roman" w:eastAsia="№Е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№Е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№Е"/>
          <w:b/>
          <w:iCs/>
          <w:sz w:val="28"/>
          <w:szCs w:val="28"/>
          <w:lang w:eastAsia="ru-RU"/>
        </w:rPr>
      </w:r>
      <w:r>
        <w:rPr>
          <w:rFonts w:ascii="Times New Roman" w:hAnsi="Times New Roman" w:eastAsia="№Е"/>
          <w:b/>
          <w:iCs/>
          <w:sz w:val="28"/>
          <w:szCs w:val="28"/>
          <w:lang w:eastAsia="ru-RU"/>
        </w:rPr>
      </w:r>
    </w:p>
    <w:p>
      <w:pPr>
        <w:pStyle w:val="850"/>
        <w:ind w:firstLine="709"/>
        <w:jc w:val="center"/>
        <w:spacing w:after="0" w:line="240" w:lineRule="auto"/>
        <w:widowControl w:val="off"/>
        <w:rPr>
          <w:rFonts w:ascii="Times New Roman" w:hAnsi="Times New Roman" w:eastAsia="№Е"/>
          <w:b/>
          <w:sz w:val="28"/>
          <w:szCs w:val="28"/>
          <w:lang w:eastAsia="ru-RU"/>
        </w:rPr>
      </w:pPr>
      <w:r>
        <w:rPr>
          <w:rFonts w:ascii="Times New Roman" w:hAnsi="Times New Roman" w:eastAsia="№Е"/>
          <w:b/>
          <w:i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№Е"/>
          <w:b/>
          <w:iCs/>
          <w:sz w:val="28"/>
          <w:szCs w:val="28"/>
          <w:lang w:eastAsia="ru-RU"/>
        </w:rPr>
        <w:t xml:space="preserve">. Требования к оформлению отчетных материалов</w:t>
      </w:r>
      <w:r>
        <w:rPr>
          <w:rFonts w:ascii="Times New Roman" w:hAnsi="Times New Roman" w:eastAsia="№Е"/>
          <w:b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№Е"/>
          <w:b/>
          <w:sz w:val="28"/>
          <w:szCs w:val="28"/>
          <w:lang w:eastAsia="ru-RU"/>
        </w:rPr>
      </w:r>
      <w:r>
        <w:rPr>
          <w:rFonts w:ascii="Times New Roman" w:hAnsi="Times New Roman" w:eastAsia="№Е"/>
          <w:b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№Е"/>
          <w:sz w:val="28"/>
          <w:szCs w:val="28"/>
          <w:lang w:eastAsia="ru-RU"/>
        </w:rPr>
      </w:pPr>
      <w:r>
        <w:rPr>
          <w:rFonts w:ascii="Times New Roman" w:hAnsi="Times New Roman" w:eastAsia="№Е"/>
          <w:i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№Е"/>
          <w:i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№Е"/>
          <w:iCs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№Е"/>
          <w:iCs/>
          <w:sz w:val="28"/>
          <w:szCs w:val="28"/>
          <w:lang w:eastAsia="ru-RU"/>
        </w:rPr>
        <w:t xml:space="preserve">Все материалы, отчеты предоставляются на условиях настоящего Описания объекта закупки с </w:t>
      </w:r>
      <w:r>
        <w:rPr>
          <w:rFonts w:ascii="Times New Roman" w:hAnsi="Times New Roman" w:eastAsia="№Е"/>
          <w:sz w:val="28"/>
          <w:szCs w:val="28"/>
          <w:lang w:eastAsia="ru-RU"/>
        </w:rPr>
        <w:t xml:space="preserve">сопроводительными письмами </w:t>
      </w:r>
      <w:r>
        <w:rPr>
          <w:rFonts w:ascii="Times New Roman" w:hAnsi="Times New Roman" w:eastAsia="№Е"/>
          <w:iCs/>
          <w:sz w:val="28"/>
          <w:szCs w:val="28"/>
          <w:lang w:eastAsia="ru-RU"/>
        </w:rPr>
        <w:t xml:space="preserve">в адрес Заказчика в печатном виде в формате А4 и в</w:t>
      </w:r>
      <w:r>
        <w:rPr>
          <w:rFonts w:ascii="Times New Roman" w:hAnsi="Times New Roman" w:eastAsia="№Е"/>
          <w:sz w:val="28"/>
          <w:szCs w:val="28"/>
          <w:lang w:eastAsia="ru-RU"/>
        </w:rPr>
        <w:t xml:space="preserve"> электронном виде в формате </w:t>
      </w:r>
      <w:r>
        <w:rPr>
          <w:rFonts w:ascii="Times New Roman" w:hAnsi="Times New Roman" w:eastAsia="№Е"/>
          <w:sz w:val="28"/>
          <w:szCs w:val="28"/>
          <w:lang w:val="en-US" w:eastAsia="ru-RU"/>
        </w:rPr>
        <w:t xml:space="preserve">Microsoft</w:t>
      </w:r>
      <w:r>
        <w:rPr>
          <w:rFonts w:ascii="Times New Roman" w:hAnsi="Times New Roman" w:eastAsia="№Е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№Е"/>
          <w:sz w:val="28"/>
          <w:szCs w:val="28"/>
          <w:lang w:val="en-US" w:eastAsia="ru-RU"/>
        </w:rPr>
        <w:t xml:space="preserve">Word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№Е"/>
          <w:sz w:val="28"/>
          <w:szCs w:val="28"/>
          <w:lang w:val="en-US" w:eastAsia="ru-RU"/>
        </w:rPr>
        <w:t xml:space="preserve">USB</w:t>
      </w:r>
      <w:r>
        <w:rPr>
          <w:rFonts w:ascii="Times New Roman" w:hAnsi="Times New Roman" w:eastAsia="№Е"/>
          <w:sz w:val="28"/>
          <w:szCs w:val="28"/>
          <w:lang w:eastAsia="ru-RU"/>
        </w:rPr>
        <w:t xml:space="preserve">-флэш-накопителе. Отчеты должны включать как текстовые комментарии, так и статистические данные (графики, таблицы, диаграммы и пр.).</w:t>
      </w:r>
      <w:r>
        <w:rPr>
          <w:rFonts w:ascii="Times New Roman" w:hAnsi="Times New Roman" w:eastAsia="№Е"/>
          <w:sz w:val="28"/>
          <w:szCs w:val="28"/>
          <w:lang w:eastAsia="ru-RU"/>
        </w:rPr>
      </w:r>
      <w:r>
        <w:rPr>
          <w:rFonts w:ascii="Times New Roman" w:hAnsi="Times New Roman" w:eastAsia="№Е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/>
          <w:sz w:val="28"/>
          <w:szCs w:val="28"/>
          <w:lang w:eastAsia="ru-RU"/>
        </w:rPr>
        <w:t xml:space="preserve">Отчеты формируются в текстовом редакторе с пользованием шрифта Times New Roman 12-14 размера, одинарным межстрочным интервалом. Листы документа должны быть пронумерованы.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Электронный массив данных предоставляется в формате, совместимом с программным обеспечением Microsoft Excel.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/>
          <w:sz w:val="28"/>
          <w:szCs w:val="28"/>
          <w:lang w:eastAsia="ru-RU"/>
        </w:rPr>
        <w:t xml:space="preserve">Результаты предоставления услуг рассматриваются Заказчиком в течение 10 рабочих дней с момента их предоставления Исполнителем.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19</w:t>
      </w:r>
      <w:r>
        <w:rPr>
          <w:rFonts w:ascii="Times New Roman" w:hAnsi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случае неисполнения требований к отчетным материалам Заказчик направляет мотивированный отказ Исполнителю в подписании Акта сдачи-приемки оказанных услуг.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/>
          <w:sz w:val="28"/>
          <w:szCs w:val="28"/>
          <w:lang w:eastAsia="ru-RU"/>
        </w:rPr>
        <w:t xml:space="preserve">Заказчик при положительном решении подписывает Акт </w:t>
      </w:r>
      <w:r>
        <w:rPr>
          <w:rFonts w:ascii="Times New Roman" w:hAnsi="Times New Roman"/>
          <w:sz w:val="28"/>
          <w:szCs w:val="28"/>
          <w:lang w:eastAsia="ru-RU"/>
        </w:rPr>
        <w:t xml:space="preserve">сдачи-</w:t>
      </w:r>
      <w:r>
        <w:rPr>
          <w:rFonts w:ascii="Times New Roman" w:hAnsi="Times New Roman"/>
          <w:sz w:val="28"/>
          <w:szCs w:val="28"/>
          <w:lang w:eastAsia="ru-RU"/>
        </w:rPr>
        <w:t xml:space="preserve">приемки оказанных услуг и оплачивает оказанные услуги.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6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 Требования к результатам оказания услуги.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21. Результатом оказания услуги является итоговый отчет о выполненных работах с прилагаемыми рабочими материалами исследования.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0"/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№Е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8</w:t>
    </w:r>
    <w:r>
      <w:rPr>
        <w:rFonts w:ascii="Times New Roman" w:hAnsi="Times New Roman"/>
        <w:sz w:val="24"/>
        <w:szCs w:val="24"/>
      </w:rPr>
      <w:fldChar w:fldCharType="end"/>
    </w:r>
    <w:r/>
  </w:p>
  <w:p>
    <w:pPr>
      <w:pStyle w:val="8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character" w:styleId="854">
    <w:name w:val="Знак примечания"/>
    <w:next w:val="854"/>
    <w:link w:val="850"/>
    <w:rPr>
      <w:sz w:val="16"/>
      <w:szCs w:val="16"/>
    </w:rPr>
  </w:style>
  <w:style w:type="paragraph" w:styleId="855">
    <w:name w:val="Текст примечания"/>
    <w:basedOn w:val="850"/>
    <w:next w:val="855"/>
    <w:link w:val="85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6">
    <w:name w:val="Текст примечания Знак"/>
    <w:next w:val="856"/>
    <w:link w:val="85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7">
    <w:name w:val="Текст выноски"/>
    <w:basedOn w:val="850"/>
    <w:next w:val="857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>
    <w:name w:val="Текст выноски Знак"/>
    <w:next w:val="858"/>
    <w:link w:val="857"/>
    <w:uiPriority w:val="99"/>
    <w:semiHidden/>
    <w:rPr>
      <w:rFonts w:ascii="Segoe UI" w:hAnsi="Segoe UI" w:cs="Segoe UI"/>
      <w:sz w:val="18"/>
      <w:szCs w:val="18"/>
    </w:rPr>
  </w:style>
  <w:style w:type="paragraph" w:styleId="859">
    <w:name w:val="Верхний колонтитул"/>
    <w:basedOn w:val="850"/>
    <w:next w:val="859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>
    <w:name w:val="Верхний колонтитул Знак"/>
    <w:basedOn w:val="851"/>
    <w:next w:val="860"/>
    <w:link w:val="859"/>
    <w:uiPriority w:val="99"/>
  </w:style>
  <w:style w:type="paragraph" w:styleId="861">
    <w:name w:val="Нижний колонтитул"/>
    <w:basedOn w:val="850"/>
    <w:next w:val="86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>
    <w:name w:val="Нижний колонтитул Знак"/>
    <w:basedOn w:val="851"/>
    <w:next w:val="862"/>
    <w:link w:val="861"/>
    <w:uiPriority w:val="99"/>
  </w:style>
  <w:style w:type="paragraph" w:styleId="863">
    <w:name w:val="Тема примечания"/>
    <w:basedOn w:val="855"/>
    <w:next w:val="855"/>
    <w:link w:val="864"/>
    <w:uiPriority w:val="99"/>
    <w:semiHidden/>
    <w:unhideWhenUsed/>
    <w:pPr>
      <w:spacing w:after="160" w:line="259" w:lineRule="auto"/>
    </w:pPr>
    <w:rPr>
      <w:rFonts w:ascii="Calibri" w:hAnsi="Calibri" w:eastAsia="Calibri"/>
      <w:b/>
      <w:bCs/>
      <w:lang w:eastAsia="en-US"/>
    </w:rPr>
  </w:style>
  <w:style w:type="character" w:styleId="864">
    <w:name w:val="Тема примечания Знак"/>
    <w:next w:val="864"/>
    <w:link w:val="86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paragraph" w:styleId="865">
    <w:name w:val="Рецензия"/>
    <w:next w:val="865"/>
    <w:link w:val="850"/>
    <w:hidden/>
    <w:uiPriority w:val="99"/>
    <w:semiHidden/>
    <w:rPr>
      <w:sz w:val="22"/>
      <w:szCs w:val="22"/>
      <w:lang w:val="ru-RU" w:eastAsia="en-US" w:bidi="ar-SA"/>
    </w:rPr>
  </w:style>
  <w:style w:type="paragraph" w:styleId="866">
    <w:name w:val="Без интервала"/>
    <w:next w:val="866"/>
    <w:link w:val="850"/>
    <w:uiPriority w:val="1"/>
    <w:qFormat/>
    <w:rPr>
      <w:rFonts w:ascii="Times New Roman" w:hAnsi="Times New Roman"/>
      <w:sz w:val="22"/>
      <w:szCs w:val="22"/>
      <w:lang w:val="ru-RU" w:eastAsia="en-US" w:bidi="ar-SA"/>
    </w:rPr>
  </w:style>
  <w:style w:type="paragraph" w:styleId="867">
    <w:name w:val="Текст сноски,Текст сноски Знак Знак,Текст сноски Знак Знак Знак Знак"/>
    <w:basedOn w:val="850"/>
    <w:next w:val="867"/>
    <w:link w:val="869"/>
    <w:uiPriority w:val="99"/>
    <w:semiHidden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68">
    <w:name w:val="Текст сноски Знак"/>
    <w:next w:val="868"/>
    <w:link w:val="850"/>
    <w:uiPriority w:val="99"/>
    <w:semiHidden/>
    <w:rPr>
      <w:lang w:eastAsia="en-US"/>
    </w:rPr>
  </w:style>
  <w:style w:type="character" w:styleId="869">
    <w:name w:val="Текст сноски Знак1,Текст сноски Знак Знак Знак,Текст сноски Знак Знак Знак Знак Знак"/>
    <w:next w:val="869"/>
    <w:link w:val="867"/>
    <w:uiPriority w:val="99"/>
    <w:semiHidden/>
    <w:rPr>
      <w:rFonts w:ascii="Times New Roman" w:hAnsi="Times New Roman" w:eastAsia="Times New Roman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  <w:style w:type="paragraph" w:styleId="1_854" w:customStyle="1">
    <w:name w:val="Обычный (веб)"/>
    <w:basedOn w:val="636"/>
    <w:next w:val="654"/>
    <w:link w:val="63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280" w:beforeAutospacing="0" w:after="119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character" w:styleId="1_855" w:customStyle="1">
    <w:name w:val="Гиперссылка"/>
    <w:next w:val="664"/>
    <w:link w:val="636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Наталья Валентиновна</dc:creator>
  <cp:revision>11</cp:revision>
  <dcterms:created xsi:type="dcterms:W3CDTF">2022-07-21T02:52:00Z</dcterms:created>
  <dcterms:modified xsi:type="dcterms:W3CDTF">2024-02-02T09:07:01Z</dcterms:modified>
  <cp:version>1048576</cp:version>
</cp:coreProperties>
</file>