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right"/>
        <w:tabs>
          <w:tab w:val="left" w:pos="5954" w:leader="none"/>
        </w:tabs>
        <w:rPr>
          <w:spacing w:val="-4"/>
          <w:highlight w:val="none"/>
        </w:rPr>
      </w:pPr>
      <w:r>
        <w:rPr>
          <w:spacing w:val="-4"/>
          <w:highlight w:val="none"/>
        </w:rPr>
        <w:t xml:space="preserve">Проект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left="5954"/>
        <w:jc w:val="right"/>
        <w:rPr>
          <w:spacing w:val="-4"/>
          <w:highlight w:val="none"/>
        </w:rPr>
      </w:pPr>
      <w:r>
        <w:rPr>
          <w:spacing w:val="-4"/>
          <w:highlight w:val="none"/>
        </w:rPr>
        <w:t xml:space="preserve">постановления Правительства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ind w:left="5954"/>
        <w:jc w:val="right"/>
        <w:rPr>
          <w:spacing w:val="-4"/>
          <w:highlight w:val="none"/>
        </w:rPr>
      </w:pPr>
      <w:r>
        <w:rPr>
          <w:spacing w:val="-4"/>
          <w:highlight w:val="none"/>
        </w:rPr>
        <w:t xml:space="preserve">Новосибирской области </w:t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tabs>
          <w:tab w:val="left" w:pos="938" w:leader="none"/>
        </w:tabs>
        <w:rPr>
          <w:spacing w:val="-4"/>
          <w:highlight w:val="none"/>
        </w:rPr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jc w:val="both"/>
        <w:tabs>
          <w:tab w:val="left" w:pos="938" w:leader="none"/>
        </w:tabs>
        <w:rPr>
          <w:spacing w:val="-4"/>
          <w:highlight w:val="none"/>
        </w:rPr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jc w:val="both"/>
        <w:tabs>
          <w:tab w:val="left" w:pos="938" w:leader="none"/>
        </w:tabs>
        <w:rPr>
          <w:spacing w:val="-4"/>
          <w:highlight w:val="none"/>
        </w:rPr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jc w:val="both"/>
        <w:tabs>
          <w:tab w:val="left" w:pos="938" w:leader="none"/>
        </w:tabs>
        <w:rPr>
          <w:spacing w:val="-4"/>
          <w:highlight w:val="none"/>
        </w:rPr>
      </w:pPr>
      <w:r>
        <w:rPr>
          <w:spacing w:val="-4"/>
          <w:highlight w:val="none"/>
        </w:rPr>
      </w:r>
      <w:r>
        <w:rPr>
          <w:spacing w:val="-4"/>
          <w:highlight w:val="none"/>
        </w:rPr>
      </w:r>
      <w:r>
        <w:rPr>
          <w:spacing w:val="-4"/>
          <w:highlight w:val="none"/>
        </w:rPr>
      </w:r>
    </w:p>
    <w:p>
      <w:pPr>
        <w:jc w:val="center"/>
        <w:widowControl w:val="off"/>
        <w:rPr>
          <w:highlight w:val="none"/>
        </w:rPr>
      </w:pPr>
      <w:r>
        <w:rPr>
          <w:highlight w:val="none"/>
        </w:rPr>
        <w:t xml:space="preserve">О внесении изменений в постановление Правительства Новосибирской области от 01.04.2015 № 126-п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rPr>
          <w:highlight w:val="none"/>
        </w:rPr>
      </w:pPr>
      <w:r>
        <w:rPr>
          <w:highlight w:val="none"/>
        </w:rPr>
      </w:r>
      <w:bookmarkStart w:id="0" w:name="P1515"/>
      <w:r>
        <w:rPr>
          <w:highlight w:val="none"/>
        </w:rPr>
      </w:r>
      <w:bookmarkEnd w:id="0"/>
      <w:r>
        <w:rPr>
          <w:highlight w:val="none"/>
        </w:rPr>
        <w:t xml:space="preserve">Правительство Новосибирской </w:t>
      </w:r>
      <w:r>
        <w:rPr>
          <w:highlight w:val="none"/>
        </w:rPr>
        <w:t xml:space="preserve">области  </w:t>
      </w:r>
      <w:r>
        <w:rPr>
          <w:b/>
          <w:highlight w:val="none"/>
        </w:rPr>
        <w:t xml:space="preserve">п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о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с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т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а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н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о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в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л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я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е</w:t>
      </w:r>
      <w:r>
        <w:rPr>
          <w:b/>
          <w:highlight w:val="none"/>
          <w:lang w:val="en-US"/>
        </w:rPr>
        <w:t xml:space="preserve"> </w:t>
      </w:r>
      <w:r>
        <w:rPr>
          <w:b/>
          <w:highlight w:val="none"/>
        </w:rPr>
        <w:t xml:space="preserve">т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 Новосибирской области»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1. В приложении № 21 «Порядок и условия предоставления субсидий из областного бюджета Новосибирс</w:t>
      </w:r>
      <w:r>
        <w:rPr>
          <w:highlight w:val="none"/>
        </w:rPr>
        <w:t xml:space="preserve">кой области на возмещение управляющим компаниям промышленных технопарков в сфере электронной промышленности затрат, связанных с созданием, развитием и (или) модернизацией объектов инфраструктуры промышленных технопарков в сфере электронной промышленности»: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highlight w:val="none"/>
        </w:rPr>
        <w:t xml:space="preserve">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>
        <w:rPr>
          <w:highlight w:val="none"/>
        </w:rPr>
        <w:t xml:space="preserve">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пункт 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«5. </w:t>
      </w:r>
      <w:r>
        <w:rPr>
          <w:rFonts w:eastAsia="Calibri"/>
          <w:highlight w:val="none"/>
          <w:lang w:eastAsia="en-US"/>
        </w:rPr>
        <w:t xml:space="preserve">Информация о субсидиях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highlight w:val="none"/>
        </w:rPr>
        <w:t xml:space="preserve"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highlight w:val="none"/>
          <w:lang w:eastAsia="en-US"/>
        </w:rPr>
        <w:t xml:space="preserve"> (далее – Минфин России).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пункт 6 после слов «проводится МЭР НСО» дополнить словами «в государственной интегрированной информационной системе управления общественными финансами «Электронный бюджет» (далее – система </w:t>
      </w:r>
      <w:r>
        <w:rPr>
          <w:highlight w:val="none"/>
        </w:rPr>
        <w:t xml:space="preserve">«Электронный бюджет»)»;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дополнить пунктами 6.1, 6.2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«6.1. Обеспечение доступа к системе «Электронный бюджет» осуществляется с использованием федеральной государственной информ</w:t>
      </w:r>
      <w:r>
        <w:rPr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6.2. Взаимодействие МЭР НСО с участниками отбора осуществляется с использованием документов в электронной форме.»;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в подпункте 1 пункта 7: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«а»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«а) на едином </w:t>
      </w:r>
      <w:r>
        <w:rPr>
          <w:highlight w:val="none"/>
        </w:rPr>
        <w:t xml:space="preserve">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абзаце «д» слова «</w:t>
      </w:r>
      <w:r>
        <w:rPr>
          <w:rFonts w:eastAsia="Calibri"/>
          <w:highlight w:val="none"/>
          <w:lang w:eastAsia="en-US"/>
        </w:rPr>
        <w:t xml:space="preserve">Министерством финансов Российской Федерации</w:t>
      </w:r>
      <w:r>
        <w:rPr>
          <w:highlight w:val="none"/>
        </w:rPr>
        <w:t xml:space="preserve">» заменить словами «Минфином России»;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абзацами «ж», «з», «и»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«ж)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з)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и) не является иностранным агентом в соответствии с Федеральным законом «О контроле за деятельностью лиц, находящихся под иностранным влиянием»;»;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</w:t>
      </w:r>
      <w:r>
        <w:rPr>
          <w:highlight w:val="none"/>
        </w:rPr>
        <w:t xml:space="preserve">) в пункте 8: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</w:t>
      </w:r>
      <w:r>
        <w:rPr>
          <w:highlight w:val="none"/>
        </w:rPr>
        <w:t xml:space="preserve">бзац первый после слов «(далее – объявление)» дополнить слов</w:t>
      </w:r>
      <w:r>
        <w:rPr>
          <w:highlight w:val="none"/>
        </w:rPr>
        <w:t xml:space="preserve">ами «формируется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области 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подпункте 4 слова «</w:t>
      </w:r>
      <w:r>
        <w:rPr>
          <w:rFonts w:eastAsia="Calibri"/>
          <w:highlight w:val="none"/>
          <w:lang w:eastAsia="en-US"/>
        </w:rPr>
        <w:t xml:space="preserve">, или иного сайта в информационно-телекоммуникационной сети «Интернет», на котором обеспечивается проведение регионального отбора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подпунктами 8.1, 8.2, 8.3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«8.1) порядка возврата заявок на доработку;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8.2) порядка отклонения заявок, а также информации об основаниях их отклонения;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8.3) объема распределяемой субсидии в рамках отбора, порядка расчета размера субсидии, правил распределения субсидии по результатам отбора в </w:t>
      </w:r>
      <w:r>
        <w:rPr>
          <w:highlight w:val="none"/>
        </w:rPr>
        <w:t xml:space="preserve">соответствии с пунктом 3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highlight w:val="none"/>
        </w:rPr>
        <w:t xml:space="preserve">7) дополнить пунктом 8.1 следующего </w:t>
      </w:r>
      <w:r>
        <w:rPr>
          <w:highlight w:val="none"/>
        </w:rPr>
        <w:t xml:space="preserve">содержани</w:t>
      </w:r>
      <w:r>
        <w:rPr>
          <w:color w:val="000000" w:themeColor="text1"/>
          <w:highlight w:val="none"/>
        </w:rPr>
        <w:t xml:space="preserve">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«8.1.</w:t>
      </w:r>
      <w:r>
        <w:rPr>
          <w:highlight w:val="none"/>
        </w:rPr>
        <w:t xml:space="preserve"> Размещение МЭР НСО объявления об отмене проведения регионального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</w:t>
      </w:r>
      <w:r>
        <w:rPr>
          <w:highlight w:val="none"/>
        </w:rPr>
        <w:t xml:space="preserve">в случае изменения объемов финансирования соответствующего мероприятия </w:t>
      </w:r>
      <w:r>
        <w:rPr>
          <w:highlight w:val="none"/>
        </w:rPr>
        <w:t xml:space="preserve">федерального проекта «Развитие технологий и инфраструктуры производства электронной и радиоэлектронной продукции» государственной программы Российской Федерации «Развитие </w:t>
      </w:r>
      <w:r>
        <w:rPr>
          <w:highlight w:val="none"/>
        </w:rPr>
        <w:t xml:space="preserve">электронной и </w:t>
      </w:r>
      <w:r>
        <w:rPr>
          <w:highlight w:val="none"/>
        </w:rPr>
        <w:t xml:space="preserve">радиоэлектронной промышленности»</w:t>
      </w:r>
      <w:r>
        <w:rPr>
          <w:highlight w:val="none"/>
        </w:rPr>
        <w:t xml:space="preserve">, </w:t>
      </w:r>
      <w:r>
        <w:rPr>
          <w:highlight w:val="none"/>
        </w:rPr>
        <w:t xml:space="preserve">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Новосибирской области </w:t>
      </w:r>
      <w:r>
        <w:rPr>
          <w:highlight w:val="none"/>
        </w:rPr>
        <w:t xml:space="preserve">«Стимулирование инвестиционной активности в Новосибирской области»</w:t>
      </w:r>
      <w:r>
        <w:rPr>
          <w:highlight w:val="none"/>
        </w:rPr>
        <w:t xml:space="preserve">, невозможности проведения регионального отбора, выявления необходимости уточнения условий регионального отбора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Объявление об отмене регионального отбора формируется в электронной форме посредством заполнения соответствующих экранных форм веб-</w:t>
      </w:r>
      <w:r>
        <w:rPr>
          <w:highlight w:val="none"/>
        </w:rPr>
        <w:t xml:space="preserve">интерфейса системы «Э</w:t>
      </w:r>
      <w:r>
        <w:rPr>
          <w:highlight w:val="none"/>
        </w:rPr>
        <w:t xml:space="preserve">лектронный бюджет», подписывается усиленной квалифицированной электронной подписью министра экономического развития Новосибирской области (уполномоченного им лица), размещается на едином портале и содержит информацию о причинах отмены регионального отбора.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Участники регионального отбора, подавшие заявки, информируются об отмене проведения регионального отбора в системе «Электронный бюджет».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Региональный отбор считается отмененным со дня размещения объявления о его отмене на едином портале.»;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8) в пункте 9: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«Заявка формируется участниками отбора в электронной форме посредством заполнения соответствующих экранных фо</w:t>
      </w:r>
      <w:r>
        <w:rPr>
          <w:highlight w:val="none"/>
        </w:rPr>
        <w:t xml:space="preserve">рм веб-интерфейса системы «Электронный бюджет» и представления в систему «Электронный бюджет» копий документов (документов на бумажном носителе, преобразованных в электронную форму путем сканирования), предусмотренных приложением № 2 к настоящему Порядку. </w:t>
      </w:r>
      <w:r>
        <w:rPr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МЭР с даты ее подписания с присвоением ей регистрационного номера в системе «Электронный бюджет».»;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«Внесение изменений в заявку осуществляется участником отбора в порядке, аналогичном порядку формирования заявки участником отбора.»;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9) дополнить пунктами 9.1, 9.2, 9.3 следующего содержания: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«9.1. Рассмотрение заявок осуществляется комиссией по региональному отбору проектов управляющих компаний промышленных технопарков в сфере электронной промышленности по созданию, развитию и (или) модернизации объектов инфраструктуры (далее – комиссия).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9.2. Не позднее одного рабочего дня, следующего за днем окончания срока подачи заявок, установленного в объявлении, в системе «Электронный бюджет» открывается доступ МЭР НСО, а также комиссии к поданным участниками отбора заявкам для их рассмотрения.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9.3. Комиссия не позднее одного рабочего дня, следующего за днем вскрытия заявок, установленного в объявлении, подписывает протокол вскрытия заявок, </w:t>
      </w:r>
      <w:r>
        <w:rPr>
          <w:highlight w:val="none"/>
        </w:rPr>
        <w:t xml:space="preserve">содержащий следующую информацию о поступивших для участия в региональном отборе заявках: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регистрационный номер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дата и время поступления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полное наименование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адрес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запрашиваемый участником регионального отбора размер субсидии.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вскрытия заявок формируется на едином по</w:t>
      </w:r>
      <w:r>
        <w:rPr>
          <w:highlight w:val="none"/>
        </w:rPr>
        <w:t xml:space="preserve">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10) пункт 10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 Комиссия в течение 5 рабочих дней со дня окончания срока приема заявок проводит проверку заявки на предмет: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соответствия заявки требованиям, предусмотренным пунктом 9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соответствия технопарка в сфере электронной промышленности и участника отбора условиям, предусмотренным подпунктами 2-6 пункта 7 настоящего Порядка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Проверка участника отбора на соответствие требованиям, пре</w:t>
      </w:r>
      <w:r>
        <w:rPr>
          <w:highlight w:val="none"/>
        </w:rPr>
        <w:t xml:space="preserve">дусмотренным подпунктом 1 пункта 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11) в пункте 11: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дополнить подпунктом 5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«5) непредставление (представление не в полном объеме) документов, предусмотренных пунктом 9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б) абзац шестой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«При выявлении несоответствия хотя бы одному из условий и требований, предусмотренных пунктом 10 настоящего Порядка, комиссия принимает решение об отклонении заявки.»;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color w:val="000000" w:themeColor="text1"/>
          <w:highlight w:val="none"/>
        </w:rPr>
        <w:t xml:space="preserve">12</w:t>
      </w:r>
      <w:r>
        <w:rPr>
          <w:highlight w:val="none"/>
        </w:rPr>
        <w:t xml:space="preserve">) абзац первый пункта 12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13) пункты 13-14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14) пункт 15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15. Прошедшими региональный отбор </w:t>
      </w:r>
      <w:r>
        <w:rPr>
          <w:rFonts w:eastAsia="Calibri"/>
          <w:highlight w:val="none"/>
          <w:lang w:eastAsia="en-US"/>
        </w:rPr>
        <w:t xml:space="preserve">признаются проекты, </w:t>
      </w:r>
      <w:r>
        <w:rPr>
          <w:rFonts w:eastAsia="Calibri"/>
          <w:highlight w:val="none"/>
          <w:lang w:eastAsia="en-US"/>
        </w:rPr>
        <w:t xml:space="preserve">заявки в отношении которых на дату их рассмотрения поданы участниками отбора, с соблюдением условий и требований, установленных абзацами «а»-«и» подпункта 1, подпунктами 2-6 пункта 7, пунктом 9 настоящего Порядка.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Ранжирование представленных заявок </w:t>
      </w:r>
      <w:r>
        <w:rPr>
          <w:highlight w:val="none"/>
        </w:rPr>
        <w:t xml:space="preserve">осуществляется исходя из соответствия участников отбора требованиям, установленным настоящим Порядком, и очередности их поступления.»;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15) дополнить пунктом 15.1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«15.1. Региональный отбор признается несостоявшимся в следующих случаях: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по окончании срока проведения отбора не подано ни одной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по результатам рассмотрения заявок отклонены все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16) пункт 16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«16. По результатам рассмотрения комиссией заявок не позднее одного рабочего дня со дня окончания срока рассмотрения заявок подготавливается проток</w:t>
      </w:r>
      <w:r>
        <w:rPr>
          <w:highlight w:val="none"/>
        </w:rPr>
        <w:t xml:space="preserve">ол рассмотрения заявок, включающий информацию о количестве поступивших и рассмотренных заявок, а также информацию по каждому участнику регионального отбора о признании его заявки надлежащей или об отклонении его заявки с указанием оснований для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рассмотрения заявок формируется на едином портале автоматически на основании результатов </w:t>
      </w:r>
      <w:r>
        <w:rPr>
          <w:highlight w:val="none"/>
        </w:rPr>
        <w:t xml:space="preserve">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17)</w:t>
      </w:r>
      <w:r>
        <w:rPr>
          <w:highlight w:val="none"/>
        </w:rPr>
        <w:t xml:space="preserve"> дополнить пунктом 16.1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«16.1. </w:t>
      </w:r>
      <w:r>
        <w:rPr>
          <w:highlight w:val="none"/>
        </w:rPr>
        <w:t xml:space="preserve">В целях завершения </w:t>
      </w:r>
      <w:r>
        <w:rPr>
          <w:highlight w:val="none"/>
        </w:rPr>
        <w:t xml:space="preserve">регионального отбора и определения его победителей формируется протокол подведения итогов регионального отбора, включающий информацию о победителях регионального отбора с указанием размера субсидии , предусмотренной им для предоставления</w:t>
      </w:r>
      <w:r>
        <w:rPr>
          <w:highlight w:val="none"/>
        </w:rPr>
        <w:t xml:space="preserve">, </w:t>
      </w:r>
      <w:r>
        <w:rPr>
          <w:highlight w:val="none"/>
        </w:rPr>
        <w:t xml:space="preserve">об отклонении заявок с указанием оснований для их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Размер субсидии в протоколе подведения итогов регионального отбора </w:t>
      </w:r>
      <w:r>
        <w:rPr>
          <w:color w:val="000000" w:themeColor="text1"/>
          <w:highlight w:val="none"/>
        </w:rPr>
        <w:t xml:space="preserve">указывается исходя из </w:t>
      </w:r>
      <w:r>
        <w:rPr>
          <w:color w:val="000000" w:themeColor="text1"/>
          <w:highlight w:val="none"/>
        </w:rPr>
        <w:t xml:space="preserve">объема бюджетных ассигнований областного бюджета Новосибирской области на исполнение расходного обязательства Новосибирской области, </w:t>
      </w:r>
      <w:r>
        <w:rPr>
          <w:color w:val="000000" w:themeColor="text1"/>
          <w:highlight w:val="none"/>
        </w:rPr>
        <w:t xml:space="preserve">софинансирование</w:t>
      </w:r>
      <w:r>
        <w:rPr>
          <w:color w:val="000000" w:themeColor="text1"/>
          <w:highlight w:val="none"/>
        </w:rPr>
        <w:t xml:space="preserve"> которого осуществляется из федерального бюджета</w:t>
      </w:r>
      <w:r>
        <w:rPr>
          <w:color w:val="000000" w:themeColor="text1"/>
          <w:highlight w:val="none"/>
        </w:rPr>
        <w:t xml:space="preserve">. </w:t>
      </w:r>
      <w:r>
        <w:rPr>
          <w:highlight w:val="none"/>
        </w:rPr>
        <w:t xml:space="preserve">Размер субсидии, предоставляемой управляющей компании при соблюдении условий, предусмотренных пунктом 19 настоящего Порядка, определяется в соответствии с пунктом 3 настоящего Порядка.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подведения итогов регионального отбора формируется на едином портале автоматически на основании резу</w:t>
      </w:r>
      <w:r>
        <w:rPr>
          <w:highlight w:val="none"/>
        </w:rPr>
        <w:t xml:space="preserve">льтатов определения победителей регионального отбора и подписывается усиленной квалифицированной электронной подписью председателя комиссии и членов комиссии, а также размещается на едином портале не позднее рабочего дня, следующего за днем его подписания.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18) пункт 19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19. В случае признания проекта прошедшим федеральный отбор, а также при условии соответствия управляющей компании на дату заключения соглашения требованиям, предусмотренным абзацами «а»-«и» подпункта 1, подпунктами 2-6 пункта 7 настоящего Порядка,</w:t>
      </w:r>
      <w:r>
        <w:rPr>
          <w:rFonts w:eastAsia="Calibri"/>
          <w:highlight w:val="none"/>
          <w:lang w:eastAsia="en-US"/>
        </w:rPr>
        <w:t xml:space="preserve"> МЭР НСО в соответствии с распоряжением Правительства Новосибирской области в течение срока, указанного в объявлении, заключает с управляющей компанией соглашение о предоставлении субсидии из областного бюджета Новосибирской области (далее – соглашение).»;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19) пункт 20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20. Соглашение, дополнительное соглашение о внесении в него изменений, а также дополнительное соглашение о его расторжении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подготавливаются (формируются) и </w:t>
      </w:r>
      <w:r>
        <w:rPr>
          <w:rFonts w:eastAsia="Calibri"/>
          <w:highlight w:val="none"/>
          <w:lang w:eastAsia="en-US"/>
        </w:rPr>
        <w:t xml:space="preserve">заключаются в</w:t>
      </w:r>
      <w:r>
        <w:rPr>
          <w:rFonts w:eastAsia="Calibri"/>
          <w:highlight w:val="none"/>
          <w:lang w:eastAsia="en-US"/>
        </w:rPr>
        <w:t xml:space="preserve"> системе </w:t>
      </w:r>
      <w:r>
        <w:rPr>
          <w:rFonts w:eastAsia="Calibri"/>
          <w:highlight w:val="none"/>
          <w:lang w:eastAsia="en-US"/>
        </w:rPr>
        <w:t xml:space="preserve">«Электронный бюджет» в соответствии с типовой формой, установленной </w:t>
      </w:r>
      <w:r>
        <w:rPr>
          <w:rFonts w:eastAsia="Calibri"/>
          <w:highlight w:val="none"/>
          <w:lang w:eastAsia="en-US"/>
        </w:rPr>
        <w:t xml:space="preserve">Минфином России, </w:t>
      </w:r>
      <w:r>
        <w:rPr>
          <w:rFonts w:eastAsia="Calibri"/>
          <w:highlight w:val="none"/>
          <w:lang w:eastAsia="en-US"/>
        </w:rPr>
        <w:t xml:space="preserve">с учетом требований к соглашению, указанных в приложении № 3 к настоящему Порядку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20) пункт 21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21) пункт 22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«22. </w:t>
      </w:r>
      <w:r>
        <w:rPr>
          <w:rFonts w:eastAsia="Calibri"/>
          <w:highlight w:val="none"/>
          <w:lang w:eastAsia="en-US"/>
        </w:rPr>
        <w:t xml:space="preserve">В случае </w:t>
      </w:r>
      <w:r>
        <w:rPr>
          <w:rFonts w:eastAsia="Calibri"/>
          <w:highlight w:val="none"/>
          <w:lang w:eastAsia="en-US"/>
        </w:rPr>
        <w:t xml:space="preserve">неподписания</w:t>
      </w:r>
      <w:r>
        <w:rPr>
          <w:rFonts w:eastAsia="Calibri"/>
          <w:highlight w:val="none"/>
          <w:lang w:eastAsia="en-US"/>
        </w:rPr>
        <w:t xml:space="preserve"> управляющей компанией соглашения в пределах срока, указанного в объявлении, она признается уклонившейся от заключения соглашения.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22) в пункте 23 слова «</w:t>
      </w:r>
      <w:r>
        <w:rPr>
          <w:rFonts w:eastAsia="Calibri"/>
          <w:highlight w:val="none"/>
          <w:lang w:eastAsia="en-US"/>
        </w:rPr>
        <w:t xml:space="preserve">о предоставлении субсидии из областного бюджета Новосибирской области, источником фи</w:t>
      </w:r>
      <w:r>
        <w:rPr>
          <w:rFonts w:eastAsia="Calibri"/>
          <w:highlight w:val="none"/>
          <w:lang w:eastAsia="en-US"/>
        </w:rPr>
        <w:t xml:space="preserve">нансового обеспечения которой являются средства федерального бюджета, и соглашением о предоставлении субсидии из областного бюджета Новосибирской области, источником финансового обеспечения которой являются средства областного бюджета Новосибирской области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23) подпункт 4 пункта 25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«4) сведения по состоянию не ранее чем на первое число месяца, в котором подается за</w:t>
      </w:r>
      <w:r>
        <w:rPr>
          <w:highlight w:val="none"/>
        </w:rPr>
        <w:t xml:space="preserve">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Нал</w:t>
      </w:r>
      <w:r>
        <w:rPr>
          <w:highlight w:val="none"/>
        </w:rPr>
        <w:t xml:space="preserve">огового кодекса Российской Федерации (указанные сведения управляющие компании вправе представить по собственной инициативе. В случае если сведения не представлены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24)</w:t>
      </w:r>
      <w:r>
        <w:rPr>
          <w:highlight w:val="none"/>
          <w:lang w:val="en-US"/>
        </w:rPr>
        <w:t xml:space="preserve"> </w:t>
      </w:r>
      <w:r>
        <w:rPr>
          <w:highlight w:val="none"/>
        </w:rPr>
        <w:t xml:space="preserve">пункт 28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28. Управляющие компании представляют в МЭР НСО: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1) отчет о достижении значений результатов предоставления субсидии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Минфином России, ежеквартально до 30 числа месяца, следующего за отчетным кварталом;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2) от</w:t>
      </w:r>
      <w:r>
        <w:rPr>
          <w:rFonts w:eastAsia="Calibri"/>
          <w:highlight w:val="none"/>
          <w:lang w:eastAsia="en-US"/>
        </w:rPr>
        <w:t xml:space="preserve">чет об исполнении условий предоставления субсидии, включая информацию о динамике достижения результатов использования субсидии, выполнении календарного плана работ создания объектов промышленной и технологической инфраструктур промышленного технопарка в сф</w:t>
      </w:r>
      <w:r>
        <w:rPr>
          <w:rFonts w:eastAsia="Calibri"/>
          <w:highlight w:val="none"/>
          <w:lang w:eastAsia="en-US"/>
        </w:rPr>
        <w:t xml:space="preserve">ере электронной промышленност</w:t>
      </w:r>
      <w:r>
        <w:rPr>
          <w:rFonts w:eastAsia="Calibri"/>
          <w:highlight w:val="none"/>
          <w:lang w:eastAsia="en-US"/>
        </w:rPr>
        <w:t xml:space="preserve">и</w:t>
      </w:r>
      <w:r>
        <w:rPr>
          <w:rFonts w:eastAsia="Calibri"/>
          <w:highlight w:val="none"/>
          <w:lang w:eastAsia="en-US"/>
        </w:rPr>
        <w:t xml:space="preserve">,</w:t>
      </w:r>
      <w:r>
        <w:rPr>
          <w:rFonts w:eastAsia="Calibri"/>
          <w:highlight w:val="none"/>
          <w:lang w:eastAsia="en-US"/>
        </w:rPr>
        <w:t xml:space="preserve"> в порядке и</w:t>
      </w:r>
      <w:r>
        <w:rPr>
          <w:rFonts w:eastAsia="Calibri"/>
          <w:highlight w:val="none"/>
          <w:lang w:eastAsia="en-US"/>
        </w:rPr>
        <w:t xml:space="preserve"> по форм</w:t>
      </w:r>
      <w:r>
        <w:rPr>
          <w:rFonts w:eastAsia="Calibri"/>
          <w:highlight w:val="none"/>
          <w:lang w:eastAsia="en-US"/>
        </w:rPr>
        <w:t xml:space="preserve">е</w:t>
      </w:r>
      <w:r>
        <w:rPr>
          <w:rFonts w:eastAsia="Calibri"/>
          <w:highlight w:val="none"/>
          <w:lang w:eastAsia="en-US"/>
        </w:rPr>
        <w:t xml:space="preserve">, установленным соглашением,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ежегодно до 30 числа месяца, следующего за отчетным годом.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Отчетность, предусмотренная подпунктом 1 настоящего пункта, предоставляется управляющей компанией в системе «Электронный бюджет.»;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25) дополнить пунктом 28.1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«28.1. МЭР НСО осуществляет проверку и принятие отчетов, указанных в пункте 28 настоящего Порядка, в срок, не превышающий 20 рабочих дней со дня их представления.»;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26) пункт 29 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«МЭР НСО и Минфин Ро</w:t>
      </w:r>
      <w:r>
        <w:rPr>
          <w:highlight w:val="none"/>
        </w:rPr>
        <w:t xml:space="preserve">ссии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</w:t>
      </w:r>
      <w:r>
        <w:rPr>
          <w:highlight w:val="none"/>
        </w:rPr>
        <w:t xml:space="preserve">предоставления субсидии (контрольная точка), в порядке и по формам, установленным Минфином России.»;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27) пункт 31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«31. </w:t>
      </w:r>
      <w:r>
        <w:rPr>
          <w:highlight w:val="none"/>
          <w:lang w:eastAsia="en-US"/>
        </w:rPr>
        <w:t xml:space="preserve">В случае нарушения управляющей компанией условий, установленных при предоставлении субсидии, выявленного в том числе по фактам проверок, проведенных МЭР НСО и органами государственного финансового контроля, а также в случае </w:t>
      </w:r>
      <w:r>
        <w:rPr>
          <w:highlight w:val="none"/>
          <w:lang w:eastAsia="en-US"/>
        </w:rPr>
        <w:t xml:space="preserve">недостижения</w:t>
      </w:r>
      <w:r>
        <w:rPr>
          <w:highlight w:val="none"/>
          <w:lang w:eastAsia="en-US"/>
        </w:rPr>
        <w:t xml:space="preserve"> значений результатов предоставления субсидии объем средств, определенный суммой субсидии, использованный с нарушением, подл</w:t>
      </w:r>
      <w:r>
        <w:rPr>
          <w:rFonts w:eastAsia="Calibri"/>
          <w:highlight w:val="none"/>
          <w:lang w:eastAsia="en-US"/>
        </w:rPr>
        <w:t xml:space="preserve">ежит возврату.».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28) дополнить пунктом 32 следующего содержания: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«32. При реорганизации управляющей ком</w:t>
      </w:r>
      <w:r>
        <w:rPr>
          <w:rFonts w:eastAsia="Calibri"/>
          <w:highlight w:val="none"/>
          <w:lang w:eastAsia="en-US"/>
        </w:rPr>
        <w:t xml:space="preserve">пании,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При реорганизации управляющей компании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</w:t>
      </w:r>
      <w:r>
        <w:rPr>
          <w:rFonts w:eastAsia="Calibri"/>
          <w:highlight w:val="none"/>
          <w:lang w:eastAsia="en-US"/>
        </w:rPr>
        <w:t xml:space="preserve">обязательств по соглашению с отражением информации о неисполненных управляющей компанией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29) в приложении № 1 «Заявление на участие в региональном отборе проектов»: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 подпункт 1 пункта 3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«1)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дополнить подпунктами 7, 8, 9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«7)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8)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9) не является иностранным агентом в соответствии с Федеральным законом «О контроле за деятельностью лиц, находящихся под иностранным влиянием.»;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30) в приложении № 3 «Требования к соглашению о предоставлении субсидии из областного бюджета Новосибирской области на возмещение управляющим компаниям затрат, связанных с созданием, развитием и (или) </w:t>
      </w:r>
      <w:r>
        <w:rPr>
          <w:highlight w:val="none"/>
        </w:rPr>
        <w:t xml:space="preserve">модернизацией объектов инфраструктуры промышленных технопарков в сфере электронной промышленности»: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 абзац первый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«Соглашение о предоставлении субсидии из областного бюджета Новосибирской области должно включать следующие положения:»;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дополнить пунктами 14, 15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«14) условие о внесении изменений в соглашение пу</w:t>
      </w:r>
      <w:r>
        <w:rPr>
          <w:highlight w:val="none"/>
        </w:rPr>
        <w:t xml:space="preserve">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управляющей компании, в форме слияния, присоединения или преобразования;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15) 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</w:t>
      </w:r>
      <w:r>
        <w:rPr>
          <w:highlight w:val="none"/>
        </w:rPr>
        <w:t xml:space="preserve">нных управляющей компанией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 при реорганизации управляющей компании в форме разделения, выдел</w:t>
      </w:r>
      <w:r>
        <w:rPr>
          <w:highlight w:val="none"/>
        </w:rPr>
        <w:t xml:space="preserve">ения, а также при ее ликвидации</w:t>
      </w:r>
      <w:r>
        <w:rPr>
          <w:highlight w:val="non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2. В приложении № 22 «Порядок и условия предоставления субсидий из областного бюджета Новосибирской области </w:t>
      </w:r>
      <w:r>
        <w:rPr>
          <w:highlight w:val="none"/>
        </w:rPr>
        <w:t xml:space="preserve">на финансовое обеспечение управляющим компаниям промышленных технопарков в сфере электронной промышленности затрат, связанных с созданием, развитием и (или) модернизацией объектов инфраструктуры промышленных технопарков в сфере электронной промышленности»: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highlight w:val="none"/>
        </w:rPr>
        <w:t xml:space="preserve">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>
        <w:rPr>
          <w:highlight w:val="none"/>
        </w:rPr>
        <w:t xml:space="preserve">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пункт 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«5. </w:t>
      </w:r>
      <w:r>
        <w:rPr>
          <w:rFonts w:eastAsia="Calibri"/>
          <w:highlight w:val="none"/>
          <w:lang w:eastAsia="en-US"/>
        </w:rPr>
        <w:t xml:space="preserve">Информация о субсидиях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highlight w:val="none"/>
        </w:rPr>
        <w:t xml:space="preserve"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highlight w:val="none"/>
          <w:lang w:eastAsia="en-US"/>
        </w:rPr>
        <w:t xml:space="preserve"> (далее – Минфин России).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пункт 6 после слов «проводится МЭР НСО» дополнить словами «в </w:t>
      </w:r>
      <w:r>
        <w:rPr>
          <w:highlight w:val="none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дополнить пунктами 6.1, 6.2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«6.1. Обеспечение доступа к системе «Электронный бюджет» осуществляется с использованием федеральной государственной информ</w:t>
      </w:r>
      <w:r>
        <w:rPr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6.2. Взаимодействие МЭР НСО с участниками отбора осуществляется с использованием документов в электронной форме.»;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в подпункте 1 пункта 7: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«а»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«а) на едином </w:t>
      </w:r>
      <w:r>
        <w:rPr>
          <w:highlight w:val="none"/>
        </w:rPr>
        <w:t xml:space="preserve">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абзаце «д» слова «</w:t>
      </w:r>
      <w:r>
        <w:rPr>
          <w:rFonts w:eastAsia="Calibri"/>
          <w:highlight w:val="none"/>
          <w:lang w:eastAsia="en-US"/>
        </w:rPr>
        <w:t xml:space="preserve">Министерством финансов Российской Федерации</w:t>
      </w:r>
      <w:r>
        <w:rPr>
          <w:highlight w:val="none"/>
        </w:rPr>
        <w:t xml:space="preserve">» заменить словами «Минфином России»;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абзацами «ж», «з», «и»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«ж)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з)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и) не является иностранным агентом в соответствии с Федеральным законом «О контроле за деятельностью лиц, находящихся под иностранным влиянием»;»;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</w:t>
      </w:r>
      <w:r>
        <w:rPr>
          <w:highlight w:val="none"/>
        </w:rPr>
        <w:t xml:space="preserve">) в пункте 8: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</w:t>
      </w:r>
      <w:r>
        <w:rPr>
          <w:highlight w:val="none"/>
        </w:rPr>
        <w:t xml:space="preserve">бзац первый после слов «(далее – объявление)» дополнить слов</w:t>
      </w:r>
      <w:r>
        <w:rPr>
          <w:highlight w:val="none"/>
        </w:rPr>
        <w:t xml:space="preserve">ами «формируется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области 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подпункте 4 слова «</w:t>
      </w:r>
      <w:r>
        <w:rPr>
          <w:rFonts w:eastAsia="Calibri"/>
          <w:highlight w:val="none"/>
          <w:lang w:eastAsia="en-US"/>
        </w:rPr>
        <w:t xml:space="preserve">, или иного сайта в информационно-телекоммуникационной сети «Интернет», на котором обеспечивается проведение регионального отбора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подпунктами 8.1, 8.2, 8.3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«8.1) порядка возврата заявок на доработку;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8.2) порядка отклонения заявок, а также информации об основаниях их отклонения;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8.3) объема распределяемой субсидии в рамках отбора, порядка расчета размера субсидии, правил распределения субсидии по результатам отбора в соответствии с пунктом 3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highlight w:val="none"/>
        </w:rPr>
        <w:t xml:space="preserve">7) дополнить пунктом 8.1 следующего </w:t>
      </w:r>
      <w:r>
        <w:rPr>
          <w:highlight w:val="none"/>
        </w:rPr>
        <w:t xml:space="preserve">содержани</w:t>
      </w:r>
      <w:r>
        <w:rPr>
          <w:color w:val="000000" w:themeColor="text1"/>
          <w:highlight w:val="none"/>
        </w:rPr>
        <w:t xml:space="preserve">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«8.1.</w:t>
      </w:r>
      <w:r>
        <w:rPr>
          <w:highlight w:val="none"/>
        </w:rPr>
        <w:t xml:space="preserve"> Размещение МЭР НСО объявления об отмене проведения регионального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</w:t>
      </w:r>
      <w:r>
        <w:rPr>
          <w:highlight w:val="none"/>
        </w:rPr>
        <w:t xml:space="preserve">в случае изменения объемов финансирования соответствующего мероприятия </w:t>
      </w:r>
      <w:r>
        <w:rPr>
          <w:highlight w:val="none"/>
        </w:rPr>
        <w:t xml:space="preserve">федерального проекта «Развитие технологий и инфраструктуры производства электронной и радиоэлектронной продукции» государственной программы Российской Федерации «Развитие </w:t>
      </w:r>
      <w:r>
        <w:rPr>
          <w:highlight w:val="none"/>
        </w:rPr>
        <w:t xml:space="preserve">электронной и </w:t>
      </w:r>
      <w:r>
        <w:rPr>
          <w:highlight w:val="none"/>
        </w:rPr>
        <w:t xml:space="preserve">радиоэлектронной промышленности»</w:t>
      </w:r>
      <w:r>
        <w:rPr>
          <w:highlight w:val="none"/>
        </w:rPr>
        <w:t xml:space="preserve">, </w:t>
      </w:r>
      <w:r>
        <w:rPr>
          <w:highlight w:val="none"/>
        </w:rPr>
        <w:t xml:space="preserve">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Новосибирской области </w:t>
      </w:r>
      <w:r>
        <w:rPr>
          <w:highlight w:val="none"/>
        </w:rPr>
        <w:t xml:space="preserve">«Стимулирование инвестиционной активности в Новосибирской области»</w:t>
      </w:r>
      <w:r>
        <w:rPr>
          <w:highlight w:val="none"/>
        </w:rPr>
        <w:t xml:space="preserve">, невозможности проведения регионального отбора, выявления необходимости уточнения условий регионального отбора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Объявление об отмене регионального отбора формируется в электронной форме посредством заполнения соответствующих экранных форм веб-</w:t>
      </w:r>
      <w:r>
        <w:rPr>
          <w:highlight w:val="none"/>
        </w:rPr>
        <w:t xml:space="preserve">интерфейса системы «Э</w:t>
      </w:r>
      <w:r>
        <w:rPr>
          <w:highlight w:val="none"/>
        </w:rPr>
        <w:t xml:space="preserve">лектронный бюджет», подписывается усиленной квалифицированной электронной подписью министра экономического развития Новосибирской области (уполномоченного им лица), размещается на едином портале и содержит информацию о причинах отмены регионального отбора.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Участники регионального отбора, подавшие заявки, информируются об отмене проведения регионального отбора в системе «Электронный бюджет».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Региональный отбор считается отмененным со дня размещения объявления о его отмене на едином портале.»;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8) в пункте 9: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 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«Заявка формируется участниками отбора в электронной форме посредством заполнения соответствующих экранных фо</w:t>
      </w:r>
      <w:r>
        <w:rPr>
          <w:highlight w:val="none"/>
        </w:rPr>
        <w:t xml:space="preserve">рм веб-интерфейса системы «Электронный бюджет» и представления в систему «Электронный бюджет» копий документов (документов на бумажном носителе, преобразованных в электронную форму путем сканирования), предусмотренных приложением № 2 к настоящему Порядку. </w:t>
      </w:r>
      <w:r>
        <w:rPr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МЭР с даты ее подписания с присвоением ей регистрационного номера в системе «Электронный бюджет».»;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«Внесение изменений в заявку осуществляется участником отбора в порядке, аналогичном порядку формирования заявки участником отбора.»;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9) дополнить пунктами 9.1, 9.2, 9.3 следующего содержания: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«9.1. Рассмотрение заявок осуществляется комиссией по региональному отбору проектов управляющих компаний промышленных технопарков в сфере электронной промышленности по созданию, развитию и (или) модернизации объектов инфраструктуры (далее – комиссия).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9.2. Не позднее одного рабочего дня, следующего за днем окончания срока подачи заявок, установленного в объявлении, в системе «Электронный бюджет» открывается доступ МЭР НСО, а также комиссии к поданным участниками отбора заявкам для их рассмотрения.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9.3. Комиссия не позднее одного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региональном отборе заявках: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регистрационный номер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дата и время поступления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полное наименование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адрес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запрашиваемый участником регионального отбора размер субсидии.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вскрытия заявок формируется на едином по</w:t>
      </w:r>
      <w:r>
        <w:rPr>
          <w:highlight w:val="none"/>
        </w:rPr>
        <w:t xml:space="preserve">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10) пункт 10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 Комиссия в течение 5 рабочих дней со дня окончания срока приема заявок проводит проверку заявки на предмет: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соответствия заявки требованиям, предусмотренным пунктом 9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соответствия технопарка в сфере электронной промышленности и участника отбора условиям, предусмотренным подпунктами 2-6 пункта 7 настоящего Порядка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Проверка участника отбора на соответствие требованиям, пре</w:t>
      </w:r>
      <w:r>
        <w:rPr>
          <w:highlight w:val="none"/>
        </w:rPr>
        <w:t xml:space="preserve">дусмотренным подпунктом 1 пункта 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11) в пункте 11: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дополнить подпунктом 5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«5) непредставление (представление не в полном объеме) документов, предусмотренных пунктом 9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б) абзац шестой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«При выявлении несоответствия хотя бы одному из условий и требований, предусмотренных пунктом 10 настоящего Порядка, комиссия принимает решение об отклонении заявки.»;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color w:val="000000" w:themeColor="text1"/>
          <w:highlight w:val="none"/>
        </w:rPr>
        <w:t xml:space="preserve">12</w:t>
      </w:r>
      <w:r>
        <w:rPr>
          <w:highlight w:val="none"/>
        </w:rPr>
        <w:t xml:space="preserve">) абзац первый пункта 12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13) пункты 13-14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14) пункт 15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15. Прошедшими региональный отбор признаются проекты, </w:t>
      </w:r>
      <w:r>
        <w:rPr>
          <w:rFonts w:eastAsia="Calibri"/>
          <w:highlight w:val="none"/>
          <w:lang w:eastAsia="en-US"/>
        </w:rPr>
        <w:t xml:space="preserve">заявки в отношении которых на дату их рассмотрения поданы участниками отбора, с соблюдением условий и требований, установленных абзацами «а»-«и» </w:t>
        <w:br/>
        <w:t xml:space="preserve">подпункта 1, подпунктами 2-6 пункта 7, пунктом 9 настоящего Порядка.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highlight w:val="none"/>
        </w:rPr>
        <w:t xml:space="preserve">Ранжирование представленных заявок </w:t>
      </w:r>
      <w:r>
        <w:rPr>
          <w:highlight w:val="none"/>
        </w:rPr>
        <w:t xml:space="preserve">осуществляется исходя из соответствия участников отбора требованиям, установленным настоящим Порядком, и очередности их поступления.»;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15) дополнить пунктом 15.1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«15.1.</w:t>
      </w:r>
      <w:r>
        <w:rPr>
          <w:highlight w:val="none"/>
        </w:rPr>
        <w:t xml:space="preserve"> Региональный отбор признается несостоявшимся в следующих случаях: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</w:t>
      </w:r>
      <w:r>
        <w:rPr>
          <w:highlight w:val="none"/>
        </w:rPr>
        <w:t xml:space="preserve">по окончании срока проведения отбора не подано ни одной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</w:t>
      </w:r>
      <w:r>
        <w:rPr>
          <w:highlight w:val="none"/>
        </w:rPr>
        <w:t xml:space="preserve">по результатам рассмотрения заявок отклонены все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16) пункт 16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«16. По результатам рассмотрения комиссией заявок не позднее одного рабочего дня со дня окончания срока рассмотрения заявок подготавливается проток</w:t>
      </w:r>
      <w:r>
        <w:rPr>
          <w:highlight w:val="none"/>
        </w:rPr>
        <w:t xml:space="preserve">ол рассмотрения заявок, включающий информацию о количестве поступивших и рассмотренных заявок, а также информацию по каждому участнику регионального отбора о признании его заявки надлежащей или об отклонении его заявки с указанием оснований для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рассмотрения заявок формируется на едином портале автоматически на основании результатов </w:t>
      </w:r>
      <w:r>
        <w:rPr>
          <w:highlight w:val="none"/>
        </w:rPr>
        <w:t xml:space="preserve">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17) дополнить пунктом 16.1 следующего содержания: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«16.1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 </w:t>
      </w:r>
      <w:r>
        <w:rPr>
          <w:color w:val="000000" w:themeColor="text1"/>
          <w:highlight w:val="none"/>
        </w:rPr>
        <w:t xml:space="preserve">В целях завершения </w:t>
      </w:r>
      <w:r>
        <w:rPr>
          <w:color w:val="000000" w:themeColor="text1"/>
          <w:highlight w:val="none"/>
        </w:rPr>
        <w:t xml:space="preserve">регионального отбора и определения его победителей формируется протокол подведения итогов регионального отбора, включающий информацию о победителях регионального отбора с указанием размера субсидии , предусмотренной им для предоставления</w:t>
      </w:r>
      <w:r>
        <w:rPr>
          <w:color w:val="000000" w:themeColor="text1"/>
          <w:highlight w:val="none"/>
        </w:rPr>
        <w:t xml:space="preserve">, </w:t>
      </w:r>
      <w:r>
        <w:rPr>
          <w:color w:val="000000" w:themeColor="text1"/>
          <w:highlight w:val="none"/>
        </w:rPr>
        <w:t xml:space="preserve">об отклонении заявок с указанием оснований для их отклонения.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Размер субсидии в протоколе подведения итогов регионального отбора </w:t>
      </w:r>
      <w:r>
        <w:rPr>
          <w:color w:val="000000" w:themeColor="text1"/>
          <w:highlight w:val="none"/>
        </w:rPr>
        <w:t xml:space="preserve">указывается исходя из </w:t>
      </w:r>
      <w:r>
        <w:rPr>
          <w:color w:val="000000" w:themeColor="text1"/>
          <w:highlight w:val="none"/>
        </w:rPr>
        <w:t xml:space="preserve">объема бюджетных ассигнований областного бюджета Новосибирской области на исполнение расходного обязательства Новосибирской области, </w:t>
      </w:r>
      <w:r>
        <w:rPr>
          <w:color w:val="000000" w:themeColor="text1"/>
          <w:highlight w:val="none"/>
        </w:rPr>
        <w:t xml:space="preserve">софинансирование</w:t>
      </w:r>
      <w:r>
        <w:rPr>
          <w:color w:val="000000" w:themeColor="text1"/>
          <w:highlight w:val="none"/>
        </w:rPr>
        <w:t xml:space="preserve"> которого осуществляется из федерального бюджета</w:t>
      </w:r>
      <w:r>
        <w:rPr>
          <w:color w:val="000000" w:themeColor="text1"/>
          <w:highlight w:val="none"/>
        </w:rPr>
        <w:t xml:space="preserve">. Размер субсидии, предоставляемой управляющей компании при соблюдении условий, предусмотренных пунктом 19 настоящего Порядка, определяется в соответствии с пунктом 3 настоящего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Протокол подведения итогов регионального отбора формируется на едином портале автоматически на основании резу</w:t>
      </w:r>
      <w:r>
        <w:rPr>
          <w:color w:val="000000" w:themeColor="text1"/>
          <w:highlight w:val="none"/>
        </w:rPr>
        <w:t xml:space="preserve">льтатов определения победителей регионального отбора и подписывается усиленной квалифицированной электронной подписью председателя комиссии и членов комиссии, а также размещается на едином портале не позднее рабочего дня, следующего за днем его подписания.</w:t>
      </w:r>
      <w:r>
        <w:rPr>
          <w:color w:val="000000" w:themeColor="text1"/>
          <w:highlight w:val="none"/>
        </w:rPr>
        <w:t xml:space="preserve">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18) пункт 19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19. В случае признания проекта прошедшим федеральный отбор, а также при условии соответствия управляющей компании на дату заключения соглашения требованиям, предусмотренным абзацами «а»-«и» подпункта 1, подпунктами 2-6 пункта 7 настоящего Порядка,</w:t>
      </w:r>
      <w:r>
        <w:rPr>
          <w:rFonts w:eastAsia="Calibri"/>
          <w:highlight w:val="none"/>
          <w:lang w:eastAsia="en-US"/>
        </w:rPr>
        <w:t xml:space="preserve"> МЭР НСО в соответствии с распоряжением Правительства Новосибирской области в течение срока, указанного в объявлении, заключает с управляющей компанией соглашение о предоставлении субсидии из областного бюджета Новосибирской области (далее – соглашение).»;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19) пункт 20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20. Соглашение, дополнительное соглашение о внесении в </w:t>
      </w:r>
      <w:r>
        <w:rPr>
          <w:rFonts w:eastAsia="Calibri"/>
          <w:highlight w:val="none"/>
          <w:lang w:eastAsia="en-US"/>
        </w:rPr>
        <w:t xml:space="preserve">него изменений, а также дополнительное соглашение о его расторжении </w:t>
      </w:r>
      <w:r>
        <w:rPr>
          <w:rFonts w:eastAsia="Calibri"/>
          <w:highlight w:val="none"/>
          <w:lang w:eastAsia="en-US"/>
        </w:rPr>
        <w:t xml:space="preserve">подготавливаются (формируются) и </w:t>
      </w:r>
      <w:r>
        <w:rPr>
          <w:rFonts w:eastAsia="Calibri"/>
          <w:highlight w:val="none"/>
          <w:lang w:eastAsia="en-US"/>
        </w:rPr>
        <w:t xml:space="preserve">заключаются</w:t>
      </w:r>
      <w:r>
        <w:rPr>
          <w:rFonts w:eastAsia="Calibri"/>
          <w:highlight w:val="none"/>
          <w:lang w:eastAsia="en-US"/>
        </w:rPr>
        <w:t xml:space="preserve"> в системе «Электронный бюджет» в соответствии с типовой формой, установленной Минфином России, с учетом требований к соглашению, указанных в приложении № 3 к настоящему Порядку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20) пункт 21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21) пункт 22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«22. </w:t>
      </w:r>
      <w:r>
        <w:rPr>
          <w:rFonts w:eastAsia="Calibri"/>
          <w:highlight w:val="none"/>
          <w:lang w:eastAsia="en-US"/>
        </w:rPr>
        <w:t xml:space="preserve">В случае </w:t>
      </w:r>
      <w:r>
        <w:rPr>
          <w:rFonts w:eastAsia="Calibri"/>
          <w:highlight w:val="none"/>
          <w:lang w:eastAsia="en-US"/>
        </w:rPr>
        <w:t xml:space="preserve">неподписания</w:t>
      </w:r>
      <w:r>
        <w:rPr>
          <w:rFonts w:eastAsia="Calibri"/>
          <w:highlight w:val="none"/>
          <w:lang w:eastAsia="en-US"/>
        </w:rPr>
        <w:t xml:space="preserve"> управляющей компанией соглашения в пределах срока, указанного в объявлении, она признается уклонившейся от заключения указанного соглашения.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22) в пункте 23 слова «</w:t>
      </w:r>
      <w:r>
        <w:rPr>
          <w:rFonts w:eastAsia="Calibri"/>
          <w:highlight w:val="none"/>
          <w:lang w:eastAsia="en-US"/>
        </w:rPr>
        <w:t xml:space="preserve">о предоставлении субсидии из областного бюджета Новосибирской области, источником фи</w:t>
      </w:r>
      <w:r>
        <w:rPr>
          <w:rFonts w:eastAsia="Calibri"/>
          <w:highlight w:val="none"/>
          <w:lang w:eastAsia="en-US"/>
        </w:rPr>
        <w:t xml:space="preserve">нансового обеспечения которой являются средства федерального бюджета, и соглашением о предоставлении субсидии из областного бюджета Новосибирской области, источником финансового обеспечения которой являются средства областного бюджета Новосибирской области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23) подпункт 4 пункта 25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«4) сведения по состоянию не ранее чем на первое число месяца, в котором подается з</w:t>
      </w:r>
      <w:r>
        <w:rPr>
          <w:highlight w:val="none"/>
        </w:rPr>
        <w:t xml:space="preserve">аявка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</w:t>
      </w:r>
      <w:r>
        <w:rPr>
          <w:highlight w:val="none"/>
        </w:rPr>
        <w:t xml:space="preserve">логового кодекса Российской Федерации (указанные сведения управляющие компании вправе представить по собственной инициативе. В случае если документ не представлен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24)</w:t>
      </w:r>
      <w:r>
        <w:rPr>
          <w:highlight w:val="none"/>
          <w:lang w:val="en-US"/>
        </w:rPr>
        <w:t xml:space="preserve"> </w:t>
      </w:r>
      <w:r>
        <w:rPr>
          <w:highlight w:val="none"/>
        </w:rPr>
        <w:t xml:space="preserve">пункт 28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28. Управляющие компании представляют в МЭР НСО: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1) отчет о достижении значений результатов предоставления субсидии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Минфином России, ежеквартально до 30 числа месяца, следующего за отчетным;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2) отчет о расходах, источником финансового обеспечения которых является субсидия,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Минфином России, ежеквартально до 30 числа месяца, следующего за отчетным;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3) отчет об исполнении условий предоставления субсидии, включая информацию о динамике достижения результатов использования субс</w:t>
      </w:r>
      <w:r>
        <w:rPr>
          <w:rFonts w:eastAsia="Calibri"/>
          <w:highlight w:val="none"/>
          <w:lang w:eastAsia="en-US"/>
        </w:rPr>
        <w:t xml:space="preserve">идии, выполнении календарного плана работ создания объектов промышленной и технологической инфраструктур промышленного технопарка в сфере электронной промышленности, </w:t>
      </w:r>
      <w:r>
        <w:rPr>
          <w:rFonts w:eastAsia="Calibri"/>
          <w:highlight w:val="none"/>
          <w:lang w:eastAsia="en-US"/>
        </w:rPr>
        <w:t xml:space="preserve">в порядке и</w:t>
      </w:r>
      <w:r>
        <w:rPr>
          <w:rFonts w:eastAsia="Calibri"/>
          <w:highlight w:val="none"/>
          <w:lang w:eastAsia="en-US"/>
        </w:rPr>
        <w:t xml:space="preserve"> по форм</w:t>
      </w:r>
      <w:r>
        <w:rPr>
          <w:rFonts w:eastAsia="Calibri"/>
          <w:highlight w:val="none"/>
          <w:lang w:eastAsia="en-US"/>
        </w:rPr>
        <w:t xml:space="preserve">е</w:t>
      </w:r>
      <w:r>
        <w:rPr>
          <w:rFonts w:eastAsia="Calibri"/>
          <w:highlight w:val="none"/>
          <w:lang w:eastAsia="en-US"/>
        </w:rPr>
        <w:t xml:space="preserve">, установленным соглашением, ежегодно до 30 числа месяца, следующего за отчетным.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Отчетность, предусмотренная подпунктами 1-2 настоящего пункта, предоставляется управляющей компанией в системе «Электронный бюджет.»;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25) дополнить пунктом 28.1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«28.1. МЭР НСО осуществляет проверку и принятие отчетов, указанных в пункте 28 настоящего Порядка, в срок, не превышающий 20 рабочих дней со дня их представления.»;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26) пункт 30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30. </w:t>
      </w:r>
      <w:r>
        <w:rPr>
          <w:highlight w:val="none"/>
        </w:rPr>
        <w:t xml:space="preserve">МЭР НСО и Минфин России проводят мониторинг достижения результатов предоставления субсидии исходя из достижения значений резу</w:t>
      </w:r>
      <w:r>
        <w:rPr>
          <w:highlight w:val="none"/>
        </w:rPr>
        <w:t xml:space="preserve">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Минфином России».;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27) пункт 32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«32. </w:t>
      </w:r>
      <w:r>
        <w:rPr>
          <w:rFonts w:eastAsia="Calibri"/>
          <w:highlight w:val="none"/>
          <w:lang w:eastAsia="en-US"/>
        </w:rPr>
        <w:t xml:space="preserve">В случае нарушения управляющей компанией условий, установленных при предоставлении субсидии, выявленного в том числе по фактам проверок, </w:t>
      </w:r>
      <w:r>
        <w:rPr>
          <w:rFonts w:eastAsia="Calibri"/>
          <w:highlight w:val="none"/>
          <w:lang w:eastAsia="en-US"/>
        </w:rPr>
        <w:t xml:space="preserve">проведенных МЭР НСО и органами государственного (муниципального) финансового контроля, а также в случае </w:t>
      </w:r>
      <w:r>
        <w:rPr>
          <w:rFonts w:eastAsia="Calibri"/>
          <w:highlight w:val="none"/>
          <w:lang w:eastAsia="en-US"/>
        </w:rPr>
        <w:t xml:space="preserve">недостижения</w:t>
      </w:r>
      <w:r>
        <w:rPr>
          <w:rFonts w:eastAsia="Calibri"/>
          <w:highlight w:val="none"/>
          <w:lang w:eastAsia="en-US"/>
        </w:rPr>
        <w:t xml:space="preserve"> результатов предоставления субсидии объем средств, определенный суммой субсидии, использованный с нарушением</w:t>
      </w:r>
      <w:r>
        <w:rPr>
          <w:rFonts w:eastAsia="Calibri"/>
          <w:highlight w:val="none"/>
          <w:lang w:eastAsia="en-US"/>
        </w:rPr>
        <w:t xml:space="preserve">, включая средства, полученные на основании договоров, заключенных с управляющей компанией</w:t>
      </w:r>
      <w:r>
        <w:rPr>
          <w:rFonts w:eastAsia="Calibri"/>
          <w:highlight w:val="none"/>
          <w:lang w:eastAsia="en-US"/>
        </w:rPr>
        <w:t xml:space="preserve">, подлежит возврату.»;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28) дополнить пунктом 34 следующего содержания: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«34. При реорганизации управляющей ком</w:t>
      </w:r>
      <w:r>
        <w:rPr>
          <w:rFonts w:eastAsia="Calibri"/>
          <w:highlight w:val="none"/>
          <w:lang w:eastAsia="en-US"/>
        </w:rPr>
        <w:t xml:space="preserve">пании,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При реорганизации управляющей компании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</w:t>
      </w:r>
      <w:r>
        <w:rPr>
          <w:rFonts w:eastAsia="Calibri"/>
          <w:highlight w:val="none"/>
          <w:lang w:eastAsia="en-US"/>
        </w:rPr>
        <w:t xml:space="preserve">обязательств по соглашению с отражением информации о неисполненных управляющей компанией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29) в приложении № 1 «Заявление на участие в региональном отборе проектов»</w:t>
      </w:r>
      <w:r>
        <w:rPr>
          <w:highlight w:val="none"/>
        </w:rPr>
        <w:t xml:space="preserve">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 подпункт 1 пункта 3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«1)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дополнить подпунктами 7, 8, 9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«7)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8)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9) не является иностранным агентом в соответствии с Федеральным законом «О контроле за деятельностью лиц, находящихся под иностранным влиянием.»;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30) в приложении № 3 «Требования к соглашению о предоста</w:t>
      </w:r>
      <w:r>
        <w:rPr>
          <w:highlight w:val="none"/>
        </w:rPr>
        <w:t xml:space="preserve">влении субсидии из областного бюджета Новосибирской области на финансовое обеспечение управляющим компаниям затрат, связанных с созданием, развитием и (или) модернизацией объектов инфраструктуры промышленных технопарков в сфере электронной промышленности»: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 абзац первый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«Соглашение о предоставлении субсидии из областного бюджета Новосибирской области должно включать следующие положения:»;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дополнить подпунктами 17, 18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«17) условие о внесении изменений в соглашение пу</w:t>
      </w:r>
      <w:r>
        <w:rPr>
          <w:highlight w:val="none"/>
        </w:rPr>
        <w:t xml:space="preserve">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управляющей компании, в форме слияния, присоединения или преобразования;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18) 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управляющей компанией обяз</w:t>
      </w:r>
      <w:r>
        <w:rPr>
          <w:highlight w:val="none"/>
        </w:rPr>
        <w:t xml:space="preserve">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 при реорганизации управляющей компании в форме разделения, выделения, а также при ее ликвидации</w:t>
      </w:r>
      <w:r>
        <w:rPr>
          <w:highlight w:val="none"/>
        </w:rPr>
        <w:t xml:space="preserve">.».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3. В приложении № 23 «Порядок и условия предоставления субсидий из областного бюджета Новосибирской об</w:t>
      </w:r>
      <w:r>
        <w:rPr>
          <w:highlight w:val="none"/>
        </w:rPr>
        <w:t xml:space="preserve">ласти на возмещение управляющим компаниям индустриальных (промышленных) парков, промышленных технопарков частной формы собственности части затрат на создание или увеличение площади территории индустриальных (промышленных) парков, промышленных технопарков»: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highlight w:val="none"/>
        </w:rPr>
        <w:t xml:space="preserve">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>
        <w:rPr>
          <w:highlight w:val="none"/>
        </w:rPr>
        <w:t xml:space="preserve">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пункт 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«5. </w:t>
      </w:r>
      <w:r>
        <w:rPr>
          <w:rFonts w:eastAsia="Calibri"/>
          <w:highlight w:val="none"/>
          <w:lang w:eastAsia="en-US"/>
        </w:rPr>
        <w:t xml:space="preserve">Информация о субсидиях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highlight w:val="none"/>
        </w:rPr>
        <w:t xml:space="preserve"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highlight w:val="none"/>
          <w:lang w:eastAsia="en-US"/>
        </w:rPr>
        <w:t xml:space="preserve"> (далее – Минфин России).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пункт 6 после слов «проводится МЭР НСО» дополнить словами «в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бюджет»)»; 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дополнить пунктами 6.1, 6.2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«6.1. Обеспечение доступа к системе «Электронный бюджет» </w:t>
      </w:r>
      <w:r>
        <w:rPr>
          <w:highlight w:val="none"/>
        </w:rPr>
        <w:t xml:space="preserve">осуществляется с использованием федеральной государственной информ</w:t>
      </w:r>
      <w:r>
        <w:rPr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6.2. Взаимодействие МЭР НСО с участниками отбора осуществляется с использованием документов в электронной форме.»;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в подпункте 1 пункта 7: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«а»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«а) на едином </w:t>
      </w:r>
      <w:r>
        <w:rPr>
          <w:highlight w:val="none"/>
        </w:rPr>
        <w:t xml:space="preserve">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абзаце «д» слова «</w:t>
      </w:r>
      <w:r>
        <w:rPr>
          <w:rFonts w:eastAsia="Calibri"/>
          <w:highlight w:val="none"/>
          <w:lang w:eastAsia="en-US"/>
        </w:rPr>
        <w:t xml:space="preserve">Министерством финансов Российской Федерации</w:t>
      </w:r>
      <w:r>
        <w:rPr>
          <w:highlight w:val="none"/>
        </w:rPr>
        <w:t xml:space="preserve"> (далее – Минфин России)</w:t>
      </w:r>
      <w:r>
        <w:rPr>
          <w:highlight w:val="none"/>
        </w:rPr>
        <w:t xml:space="preserve">» заменить словами «Минфином России»;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абзацами «ж», «з», «и»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«ж)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з)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и) не является иностранным агентом в соответствии с Федеральным законом «О контроле за деятельностью лиц, находящихся под иностранным влиянием»;»;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6) в пункте 10: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</w:t>
      </w:r>
      <w:r>
        <w:rPr>
          <w:highlight w:val="none"/>
        </w:rPr>
        <w:t xml:space="preserve">бзац первый после слов «(далее – объявление)» дополнить слов</w:t>
      </w:r>
      <w:r>
        <w:rPr>
          <w:highlight w:val="none"/>
        </w:rPr>
        <w:t xml:space="preserve">ами «формируется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области 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подпункте 4 слова «</w:t>
      </w:r>
      <w:r>
        <w:rPr>
          <w:rFonts w:eastAsia="Calibri"/>
          <w:highlight w:val="none"/>
          <w:lang w:eastAsia="en-US"/>
        </w:rPr>
        <w:t xml:space="preserve"> или иного сайта в информационно-телекоммуникационной сети «Интернет», на котором обеспечивается проведение регионального отбора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подпунктами 10.1, 10.2, 10.3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«10.1) порядка возврата заявок на доработку;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10.2) порядка отклонения заявок, а также информации об основаниях их отклонения;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10.3) объема распределяемой субсидии в рамках отбора, порядка расчета размера субсидии, правил распределения субсидии по результатам отбора в соответствии с пунктом 3 настоящего Порядка»;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7) дополнить пунктом 10.1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«10.1. </w:t>
      </w:r>
      <w:r>
        <w:rPr>
          <w:highlight w:val="none"/>
        </w:rPr>
        <w:t xml:space="preserve">Размещение МЭР НСО объявления об отмене проведения регионального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</w:t>
      </w:r>
      <w:r>
        <w:rPr>
          <w:highlight w:val="none"/>
        </w:rPr>
        <w:t xml:space="preserve">в случае 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Российской Федерации «Развитие промышленности и повышение ее конкурентоспособности»</w:t>
      </w:r>
      <w:r>
        <w:rPr>
          <w:highlight w:val="none"/>
        </w:rPr>
        <w:t xml:space="preserve">, </w:t>
      </w:r>
      <w:r>
        <w:rPr>
          <w:highlight w:val="none"/>
        </w:rPr>
        <w:t xml:space="preserve">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Новосибирской области </w:t>
      </w:r>
      <w:r>
        <w:rPr>
          <w:highlight w:val="none"/>
        </w:rPr>
        <w:t xml:space="preserve">«Стимулирование инвестиционной активности в Новосибирской области»</w:t>
      </w:r>
      <w:r>
        <w:rPr>
          <w:highlight w:val="none"/>
        </w:rPr>
        <w:t xml:space="preserve">, невозможности проведения регионального отбора, выявления необходимости уточнения условий регионального отбора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Объявление об отмене регионального отбора формируется в электронной форме посредством заполнения соответствующих экранных форм веб-</w:t>
      </w:r>
      <w:r>
        <w:rPr>
          <w:highlight w:val="none"/>
        </w:rPr>
        <w:t xml:space="preserve">интерфейса системы «Э</w:t>
      </w:r>
      <w:r>
        <w:rPr>
          <w:highlight w:val="none"/>
        </w:rPr>
        <w:t xml:space="preserve">лектронный бюджет», подписывается усиленной квалифицированной электронной подписью министра экономического развития Новосибирской области (уполномоченного им лица), размещается на едином портале и содержит информацию о причинах отмены регионального отбора.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Участники регионального отбора, подавшие заявки, информируются об отмене проведения регионального отбора в системе «Электронный бюджет».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Региональный отбор считается отмененным со дня размещения объявления о его отмене на едином портале.»;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8) в пункте 11: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«Заявка формируется участниками отбора в электронной форме посредством заполнения соответствующих экранных фо</w:t>
      </w:r>
      <w:r>
        <w:rPr>
          <w:highlight w:val="none"/>
        </w:rPr>
        <w:t xml:space="preserve">рм веб-интерфейса системы «Электронный бюджет» и представления в систему «Электронный бюджет» копий документов (документов на бумажном носителе, преобразованных в электронную форму путем сканирования), предусмотренных приложением № 2 к настоящему Порядку. </w:t>
      </w:r>
      <w:r>
        <w:rPr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МЭР с даты ее подписания с присвоением ей регистрационного номера в системе «Электронный бюджет».»;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«Внесение изменений в заявку осуществляется участником отбора в порядке, аналогичном порядку формирования заявки участником отбора.»;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9) дополнить пунктами 11.1, 11.2, 11.3 следующего содержания: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«11.1. </w:t>
      </w:r>
      <w:r>
        <w:rPr>
          <w:highlight w:val="none"/>
        </w:rPr>
        <w:t xml:space="preserve">Рассмотрение заявок осуществляется</w:t>
      </w:r>
      <w:r>
        <w:rPr>
          <w:highlight w:val="none"/>
        </w:rPr>
        <w:t xml:space="preserve"> комиссией </w:t>
      </w:r>
      <w:r>
        <w:rPr>
          <w:rFonts w:eastAsia="Calibri"/>
          <w:highlight w:val="none"/>
          <w:lang w:eastAsia="en-US"/>
        </w:rPr>
        <w:t xml:space="preserve">по региональному отбору проектов управляющих компаний промышленных технопарков в сфере электронной промышленности по созданию, развитию и (или) модернизации объектов инфраструктуры (далее – комиссия)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11.2. Не позднее одного рабочего дня, следующего за днем окончания срока подачи заявок, установленного в объявлении, в системе «Электронный бюджет» открывается доступ МЭР НСО, а также комиссии к поданным участниками отбора заявкам для их рассмотрения.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11.3. Комиссия не позднее одного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региональном отборе заявках: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регистрационный номер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дата и время поступления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полное наименование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адрес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запрашиваемый участником регионального отбора размер субсидии.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вскрытия заявок формируется на едином портале автоматически и </w:t>
      </w:r>
      <w:r>
        <w:rPr>
          <w:highlight w:val="none"/>
        </w:rPr>
        <w:t xml:space="preserve">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10) пункт 12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«12. Комиссия в течение 5 рабочих дней со дня окончания срока приема заявок проводит проверку заявки на предмет: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соответствия заявки требованиям, предусмотренным пунктом 11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</w:t>
      </w:r>
      <w:r>
        <w:rPr>
          <w:rFonts w:eastAsia="Calibri"/>
          <w:highlight w:val="none"/>
          <w:lang w:eastAsia="en-US"/>
        </w:rPr>
        <w:t xml:space="preserve"> соответствия парка и участника отбора требованиям, </w:t>
      </w:r>
      <w:r>
        <w:rPr>
          <w:highlight w:val="none"/>
        </w:rPr>
        <w:t xml:space="preserve">предусмотренным подпунктами 2-10 пункта 7 настоящего Порядка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Проверка участника отбора на соответствие требованиям, пре</w:t>
      </w:r>
      <w:r>
        <w:rPr>
          <w:highlight w:val="none"/>
        </w:rPr>
        <w:t xml:space="preserve">дусмотренным подпунктом 1 пункта 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11) пункт 13 </w:t>
      </w:r>
      <w:r>
        <w:rPr>
          <w:highlight w:val="none"/>
        </w:rPr>
        <w:t xml:space="preserve">дополнить подпунктом 5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«5) непредставление (представление не в полном объеме) документов, указанных в объявлении о проведении отбора, предусмотренных пунктом 11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12) </w:t>
      </w:r>
      <w:r>
        <w:rPr>
          <w:highlight w:val="none"/>
        </w:rPr>
        <w:t xml:space="preserve">пункт 14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«14. При выявлении несоответствия хотя бы одному из условий и требований, предусмотренных пунктом 12 настоящего Порядка, комиссия принимает решение об отклонении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13) абзац первый пункта 15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14) пункты 16-17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15) </w:t>
      </w:r>
      <w:r>
        <w:rPr>
          <w:highlight w:val="none"/>
        </w:rPr>
        <w:t xml:space="preserve">пункт</w:t>
      </w:r>
      <w:r>
        <w:rPr>
          <w:highlight w:val="none"/>
        </w:rPr>
        <w:t xml:space="preserve"> 18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18. </w:t>
      </w:r>
      <w:r>
        <w:rPr>
          <w:rFonts w:eastAsia="Calibri"/>
          <w:highlight w:val="none"/>
          <w:lang w:eastAsia="en-US"/>
        </w:rPr>
        <w:t xml:space="preserve">Прошедшими региональный отбор признаются проекты,</w:t>
      </w:r>
      <w:r>
        <w:rPr>
          <w:rFonts w:eastAsia="Calibri"/>
          <w:highlight w:val="none"/>
          <w:lang w:eastAsia="en-US"/>
        </w:rPr>
        <w:t xml:space="preserve"> заявки в отношении которых на дату их рассмотрения поданы участниками отбора, с соблюдением условий и требований, установленных абзацами «а»-«и» </w:t>
        <w:br/>
        <w:t xml:space="preserve">подпункта 1, подпунктами 2-10 пункта 7, пунктом 11 настоящего Порядка.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highlight w:val="none"/>
        </w:rPr>
        <w:t xml:space="preserve">Ранжирование представленных заявок </w:t>
      </w:r>
      <w:r>
        <w:rPr>
          <w:highlight w:val="none"/>
        </w:rPr>
        <w:t xml:space="preserve">осуществляется исходя из соответствия участников отбора требованиям, устан</w:t>
      </w:r>
      <w:r>
        <w:rPr>
          <w:highlight w:val="none"/>
        </w:rPr>
        <w:t xml:space="preserve">овленным настоящим Порядком, и очередности их поступления.</w:t>
      </w:r>
      <w:r>
        <w:rPr>
          <w:highlight w:val="none"/>
        </w:rPr>
        <w:t xml:space="preserve">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16) дополнить пунктом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18.1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«18.1.</w:t>
      </w:r>
      <w:r>
        <w:rPr>
          <w:highlight w:val="none"/>
        </w:rPr>
        <w:t xml:space="preserve"> Региональный отбор признается несостоявшимся в следующих случаях: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по окончании срока проведения отбора не подано ни одной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по результатам рассмотрения заявок отклонены все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17) пункт 19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19. </w:t>
      </w:r>
      <w:r>
        <w:rPr>
          <w:highlight w:val="none"/>
        </w:rPr>
        <w:t xml:space="preserve">По результатам рассмотрения </w:t>
      </w:r>
      <w:r>
        <w:rPr>
          <w:highlight w:val="none"/>
        </w:rPr>
        <w:t xml:space="preserve">комиссией </w:t>
      </w:r>
      <w:r>
        <w:rPr>
          <w:highlight w:val="none"/>
        </w:rPr>
        <w:t xml:space="preserve">заявок не позднее одного рабочего дня со дня окончания срока рассмотрения заяво</w:t>
      </w:r>
      <w:r>
        <w:rPr>
          <w:highlight w:val="none"/>
        </w:rPr>
        <w:t xml:space="preserve">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</w:t>
      </w:r>
      <w:r>
        <w:rPr>
          <w:highlight w:val="none"/>
        </w:rPr>
        <w:t xml:space="preserve">отбора о признании его заявки надлежащей или об отклонении его заявки с указанием </w:t>
      </w:r>
      <w:r>
        <w:rPr>
          <w:highlight w:val="none"/>
        </w:rPr>
        <w:t xml:space="preserve">оснований для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рассмотрения заявок формируется на едином портале автоматически на основании результатов</w:t>
      </w:r>
      <w:r>
        <w:rPr>
          <w:highlight w:val="none"/>
        </w:rPr>
        <w:t xml:space="preserve"> 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18) дополнить пунктом 19.1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«19.1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  <w:t xml:space="preserve"> </w:t>
      </w:r>
      <w:r>
        <w:rPr>
          <w:color w:val="000000" w:themeColor="text1"/>
          <w:highlight w:val="none"/>
        </w:rPr>
        <w:t xml:space="preserve">В целях завершения </w:t>
      </w:r>
      <w:r>
        <w:rPr>
          <w:color w:val="000000" w:themeColor="text1"/>
          <w:highlight w:val="none"/>
        </w:rPr>
        <w:t xml:space="preserve">регионального отбора и определения его победителей формируется протокол подведения итогов регионального отбора, включающий информацию о победителях регионального отбора с указанием размера субсидии , предусмотренной им для предоставления</w:t>
      </w:r>
      <w:r>
        <w:rPr>
          <w:color w:val="000000" w:themeColor="text1"/>
          <w:highlight w:val="none"/>
        </w:rPr>
        <w:t xml:space="preserve">,</w:t>
      </w:r>
      <w:r>
        <w:rPr>
          <w:color w:val="000000" w:themeColor="text1"/>
          <w:highlight w:val="none"/>
        </w:rPr>
        <w:t xml:space="preserve">об отклонении заявок с указанием оснований для их отклонения.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Размер субсидии в протоколе подведения итогов регионального отбора </w:t>
      </w:r>
      <w:r>
        <w:rPr>
          <w:color w:val="000000" w:themeColor="text1"/>
          <w:highlight w:val="none"/>
        </w:rPr>
        <w:t xml:space="preserve">указывается исходя из </w:t>
      </w:r>
      <w:r>
        <w:rPr>
          <w:color w:val="000000" w:themeColor="text1"/>
          <w:highlight w:val="none"/>
        </w:rPr>
        <w:t xml:space="preserve">объема бюджетных ассигнований областного бюджета Новосибирской области на исполнение расходного обязательства Новосибирской области, </w:t>
      </w:r>
      <w:r>
        <w:rPr>
          <w:color w:val="000000" w:themeColor="text1"/>
          <w:highlight w:val="none"/>
        </w:rPr>
        <w:t xml:space="preserve">софинансирование</w:t>
      </w:r>
      <w:r>
        <w:rPr>
          <w:color w:val="000000" w:themeColor="text1"/>
          <w:highlight w:val="none"/>
        </w:rPr>
        <w:t xml:space="preserve"> которого осуществляется из федерального бюджета</w:t>
      </w:r>
      <w:r>
        <w:rPr>
          <w:color w:val="000000" w:themeColor="text1"/>
          <w:highlight w:val="none"/>
        </w:rPr>
        <w:t xml:space="preserve">. Размер субсидии, предоставляемой управляющей компании при соблюдении условий, предусмотренных пунктом 22 настоящего Порядка, определяется в соответствии с пунктом 3 настоящего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Протокол подведения итогов регионального отбора формируется на едином портале автоматически на основании резу</w:t>
      </w:r>
      <w:r>
        <w:rPr>
          <w:color w:val="000000" w:themeColor="text1"/>
          <w:highlight w:val="none"/>
        </w:rPr>
        <w:t xml:space="preserve">льтатов определения победителей регионального отбора и подписывается усиленной квалифицированной электронной подписью председателя комиссии и членов комиссии, а также размещается на едином портале не позднее рабочего дня, следующего за днем его подписания.</w:t>
      </w:r>
      <w:r>
        <w:rPr>
          <w:color w:val="000000" w:themeColor="text1"/>
          <w:highlight w:val="none"/>
        </w:rPr>
        <w:t xml:space="preserve">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19) пункт 22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22. В случае признания проекта прошедшим федеральный отбор, а также при условии соответствия управляющей компании на дату заключения соглашения требованиям, предусмотренным абзацами «а»-«и» подпункта 1 пункта 7 настоящего Порядка,</w:t>
      </w:r>
      <w:r>
        <w:rPr>
          <w:rFonts w:eastAsia="Calibri"/>
          <w:highlight w:val="none"/>
          <w:lang w:eastAsia="en-US"/>
        </w:rPr>
        <w:t xml:space="preserve"> МЭР НСО в соответствии с распоряжением Правительства Новосибирской области в течение срока, указанного в объявлении, заключает с управляющей компанией соглашение о предоставлении субсидии из областного бюджета Новосибирской области (далее – соглашение).»;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20) пункт 23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23. Соглашение, дополнительное соглашение о внесении в него изменений, а также д</w:t>
      </w:r>
      <w:r>
        <w:rPr>
          <w:rFonts w:eastAsia="Calibri"/>
          <w:highlight w:val="none"/>
          <w:lang w:eastAsia="en-US"/>
        </w:rPr>
        <w:t xml:space="preserve">ополнительное соглашение о его расторжении </w:t>
      </w:r>
      <w:r>
        <w:rPr>
          <w:rFonts w:eastAsia="Calibri"/>
          <w:highlight w:val="none"/>
          <w:lang w:eastAsia="en-US"/>
        </w:rPr>
        <w:t xml:space="preserve">подготавливаются (формируются) и </w:t>
      </w:r>
      <w:r>
        <w:rPr>
          <w:rFonts w:eastAsia="Calibri"/>
          <w:highlight w:val="none"/>
          <w:lang w:eastAsia="en-US"/>
        </w:rPr>
        <w:t xml:space="preserve">заключаются </w:t>
      </w:r>
      <w:r>
        <w:rPr>
          <w:rFonts w:eastAsia="Calibri"/>
          <w:highlight w:val="none"/>
          <w:lang w:eastAsia="en-US"/>
        </w:rPr>
        <w:t xml:space="preserve">в системе «Электронный бюджет»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в соответствии с типовой формой, установленной Минфином России,</w:t>
      </w:r>
      <w:r>
        <w:rPr>
          <w:rFonts w:eastAsia="Calibri"/>
          <w:highlight w:val="none"/>
          <w:lang w:eastAsia="en-US"/>
        </w:rPr>
        <w:t xml:space="preserve"> с учетом требований к соглашению, указанных в пункте 25 настоящего Порядка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21) пункт 24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22) в пункте 25: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первый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</w:t>
      </w:r>
      <w:r>
        <w:rPr>
          <w:rFonts w:eastAsia="Calibri"/>
          <w:highlight w:val="none"/>
          <w:lang w:eastAsia="en-US"/>
        </w:rPr>
        <w:t xml:space="preserve">25. </w:t>
      </w:r>
      <w:r>
        <w:rPr>
          <w:rFonts w:eastAsia="Calibri"/>
          <w:highlight w:val="none"/>
          <w:lang w:eastAsia="en-US"/>
        </w:rPr>
        <w:t xml:space="preserve">Соглашение должно включать следующие положения:»;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подпунктами 17, 18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«17) условие о внесении изменений в соглашение пу</w:t>
      </w:r>
      <w:r>
        <w:rPr>
          <w:highlight w:val="none"/>
        </w:rPr>
        <w:t xml:space="preserve">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управляющей компании, в форме слияния, присоединения или преобразования;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18) 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управляющей компанией обязате</w:t>
      </w:r>
      <w:r>
        <w:rPr>
          <w:highlight w:val="none"/>
        </w:rPr>
        <w:t xml:space="preserve">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 при реорганизации управляющей компании в форме разделения, выделения, а также при ее ликвидации.»;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23) пункт 27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«27. </w:t>
      </w:r>
      <w:r>
        <w:rPr>
          <w:rFonts w:eastAsia="Calibri"/>
          <w:highlight w:val="none"/>
          <w:lang w:eastAsia="en-US"/>
        </w:rPr>
        <w:t xml:space="preserve">В случае </w:t>
      </w:r>
      <w:r>
        <w:rPr>
          <w:rFonts w:eastAsia="Calibri"/>
          <w:highlight w:val="none"/>
          <w:lang w:eastAsia="en-US"/>
        </w:rPr>
        <w:t xml:space="preserve">неподписания</w:t>
      </w:r>
      <w:r>
        <w:rPr>
          <w:rFonts w:eastAsia="Calibri"/>
          <w:highlight w:val="none"/>
          <w:lang w:eastAsia="en-US"/>
        </w:rPr>
        <w:t xml:space="preserve"> управляющей компанией соглашения в пределах срока, указанного в объявлении, она признается уклонившейся от заключения указанного соглашения.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  <w:rPrChange w:id="0" w:author="iue" w:date="2024-02-01T04:01:25Z" oouserid="iue">
            <w:rPr/>
          </w:rPrChange>
        </w:rPr>
      </w:r>
      <w:r>
        <w:rPr>
          <w:highlight w:val="none"/>
        </w:rPr>
        <w:t xml:space="preserve">24) в пункте 28 слова «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соглашениями, предусмотренными пунктом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22 настоящего Порядка</w:t>
      </w:r>
      <w:r>
        <w:rPr>
          <w:highlight w:val="none"/>
        </w:rPr>
        <w:t xml:space="preserve">» заменить словом «соглашением»;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  <w:rPrChange w:id="1" w:author="iue" w:date="2024-02-01T04:01:25Z" oouserid="iue">
            <w:rPr/>
          </w:rPrChange>
        </w:rPr>
      </w:r>
      <w:r>
        <w:rPr>
          <w:highlight w:val="none"/>
        </w:rPr>
        <w:t xml:space="preserve">25) подпункт 3 пункта 30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«3) сведения по состоянию не ранее чем на первое число месяца, в котором подается за</w:t>
      </w:r>
      <w:r>
        <w:rPr>
          <w:highlight w:val="none"/>
        </w:rPr>
        <w:t xml:space="preserve">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Нал</w:t>
      </w:r>
      <w:r>
        <w:rPr>
          <w:highlight w:val="none"/>
        </w:rPr>
        <w:t xml:space="preserve">огового кодекса Российской Федерации (указанные сведения управляющие компании вправе представить по собственной инициативе. В случае если сведения не представлены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26)</w:t>
      </w:r>
      <w:r>
        <w:rPr>
          <w:highlight w:val="none"/>
          <w:lang w:val="en-US"/>
        </w:rPr>
        <w:t xml:space="preserve"> </w:t>
      </w:r>
      <w:r>
        <w:rPr>
          <w:highlight w:val="none"/>
        </w:rPr>
        <w:t xml:space="preserve">пункт 34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34. Управляющие компании представляют в МЭР НСО: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1) отчет о достижении значений результатов предоставления субсидии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Минфином России, ежеквартально до 30 числа месяца, следующего за отчетным;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2) отчет об исполнении условий предоставления бюджетных средств, включая информацию о динамике достижения показателей паспорта проекта создания или увеличения площади парка, выполнении календарного плана работ по созданию объектов инфраструктуры парка </w:t>
      </w:r>
      <w:r>
        <w:rPr>
          <w:rFonts w:eastAsia="Calibri"/>
          <w:highlight w:val="none"/>
          <w:lang w:eastAsia="en-US"/>
        </w:rPr>
        <w:t xml:space="preserve">в порядке и </w:t>
      </w:r>
      <w:r>
        <w:rPr>
          <w:rFonts w:eastAsia="Calibri"/>
          <w:highlight w:val="none"/>
          <w:lang w:eastAsia="en-US"/>
        </w:rPr>
        <w:t xml:space="preserve">по формам, установленным соглашением,</w:t>
      </w:r>
      <w:r>
        <w:rPr>
          <w:rFonts w:eastAsia="Calibri"/>
          <w:highlight w:val="none"/>
          <w:lang w:eastAsia="en-US"/>
        </w:rPr>
        <w:t xml:space="preserve"> ежегодно до 30 числа месяца, следующ</w:t>
      </w:r>
      <w:r>
        <w:rPr>
          <w:rFonts w:eastAsia="Calibri"/>
          <w:highlight w:val="none"/>
          <w:lang w:eastAsia="en-US"/>
        </w:rPr>
        <w:t xml:space="preserve">его за отчетным.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Отчетность, предусмотренная подпунктом 1 настоящего пункта, предоставляется в системе «Электронный бюджет.»;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27) дополнить пунктом 34.1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«34.1. МЭР НСО осуществляет проверку и принятие отчетов, указанных в пункте 34 настоящего Порядка, в срок, не превышающий 20 рабочих дней со дня их представления.»;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28) дополнить </w:t>
      </w:r>
      <w:r>
        <w:rPr>
          <w:highlight w:val="none"/>
        </w:rPr>
        <w:t xml:space="preserve">пунктом </w:t>
      </w:r>
      <w:r>
        <w:rPr>
          <w:highlight w:val="none"/>
        </w:rPr>
        <w:t xml:space="preserve">35.1 </w:t>
      </w:r>
      <w:r>
        <w:rPr>
          <w:highlight w:val="none"/>
        </w:rPr>
        <w:t xml:space="preserve">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«35.1</w:t>
      </w:r>
      <w:r>
        <w:rPr>
          <w:highlight w:val="none"/>
        </w:rPr>
        <w:t xml:space="preserve">.</w:t>
      </w:r>
      <w:r>
        <w:rPr>
          <w:highlight w:val="none"/>
        </w:rPr>
        <w:t xml:space="preserve"> МЭР НСО и Минфин России проводят мониторинг достижения результатов предоставления субсидии исходя из достижения значений результатов </w:t>
      </w:r>
      <w:r>
        <w:rPr>
          <w:highlight w:val="none"/>
        </w:rPr>
        <w:t xml:space="preserve"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Минфином России.»;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29) </w:t>
      </w:r>
      <w:r>
        <w:rPr>
          <w:highlight w:val="none"/>
        </w:rPr>
        <w:t xml:space="preserve">абзац 1 </w:t>
      </w:r>
      <w:r>
        <w:rPr>
          <w:highlight w:val="none"/>
        </w:rPr>
        <w:t xml:space="preserve">пункт</w:t>
      </w:r>
      <w:r>
        <w:rPr>
          <w:highlight w:val="none"/>
        </w:rPr>
        <w:t xml:space="preserve">а</w:t>
      </w:r>
      <w:r>
        <w:rPr>
          <w:highlight w:val="none"/>
        </w:rPr>
        <w:t xml:space="preserve"> 37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«37. </w:t>
      </w:r>
      <w:r>
        <w:rPr>
          <w:rFonts w:eastAsia="Calibri"/>
          <w:highlight w:val="none"/>
          <w:lang w:eastAsia="en-US"/>
        </w:rPr>
        <w:t xml:space="preserve">В случае нарушения управляющей компанией условий, установленных при предоставлении субсидии, выявленного в том числе по фактам проверок, проведенных МЭР НСО и органами государственного (муниципального) финансового контроля, а также в случае </w:t>
      </w:r>
      <w:r>
        <w:rPr>
          <w:rFonts w:eastAsia="Calibri"/>
          <w:highlight w:val="none"/>
          <w:lang w:eastAsia="en-US"/>
        </w:rPr>
        <w:t xml:space="preserve">недостижения</w:t>
      </w:r>
      <w:r>
        <w:rPr>
          <w:rFonts w:eastAsia="Calibri"/>
          <w:highlight w:val="none"/>
          <w:lang w:eastAsia="en-US"/>
        </w:rPr>
        <w:t xml:space="preserve"> результатов предоставления субсидии объем средств, определенный суммой субсидии, использованный с нарушением, подлежит возврату.»;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30) дополнить пунктом 38 следующего содержания: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«38. При реорганизации управляющей ком</w:t>
      </w:r>
      <w:r>
        <w:rPr>
          <w:rFonts w:eastAsia="Calibri"/>
          <w:highlight w:val="none"/>
          <w:lang w:eastAsia="en-US"/>
        </w:rPr>
        <w:t xml:space="preserve">пании,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При реорганизации управляющей компании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</w:t>
      </w:r>
      <w:r>
        <w:rPr>
          <w:rFonts w:eastAsia="Calibri"/>
          <w:highlight w:val="none"/>
          <w:lang w:eastAsia="en-US"/>
        </w:rPr>
        <w:t xml:space="preserve">обязательств по соглашению с отражением информации о неисполненных управляющей компанией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31) в приложении № 1 «Заявление на участие в региональном отборе проектов управляющих компаний индустриальных (промышленных) парков, промышленных технопарков частной формы</w:t>
      </w:r>
      <w:r>
        <w:rPr>
          <w:highlight w:val="none"/>
        </w:rPr>
        <w:t xml:space="preserve"> собственности в целях предоставления субсидий из областного бюджета Новосибирской области на возмещение таким управляющим компаниям части затрат на создание или увеличение площади территории индустриальных (промышленных) парков, промышленных технопарков»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 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«на едином налоговом счете </w:t>
      </w:r>
      <w:r>
        <w:rPr>
          <w:highlight w:val="none"/>
        </w:rPr>
        <w:t xml:space="preserve">участника отбора </w:t>
      </w:r>
      <w:r>
        <w:rPr>
          <w:highlight w:val="none"/>
        </w:rPr>
        <w:t xml:space="preserve"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</w:t>
      </w:r>
      <w:r>
        <w:rPr>
          <w:highlight w:val="none"/>
        </w:rPr>
        <w:t xml:space="preserve">после абзаца восьмого </w:t>
      </w:r>
      <w:r>
        <w:rPr>
          <w:highlight w:val="none"/>
        </w:rPr>
        <w:t xml:space="preserve">дополнить абзацами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не наход</w:t>
      </w:r>
      <w:r>
        <w:rPr>
          <w:highlight w:val="none"/>
        </w:rPr>
        <w:t xml:space="preserve">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>
        <w:rPr>
          <w:highlight w:val="none"/>
        </w:rPr>
        <w:t xml:space="preserve">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32) </w:t>
      </w:r>
      <w:r>
        <w:rPr>
          <w:highlight w:val="none"/>
        </w:rPr>
        <w:t xml:space="preserve">пункт 7</w:t>
      </w:r>
      <w:r>
        <w:rPr>
          <w:highlight w:val="none"/>
        </w:rPr>
        <w:t xml:space="preserve"> приложени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 № 2</w:t>
      </w:r>
      <w:r>
        <w:rPr>
          <w:highlight w:val="none"/>
        </w:rPr>
        <w:t xml:space="preserve"> «Перечень документов, представляемых в составе заявки управляющей компании на участие в региональном отборе проектов управляющих компаний индустриальных (промышленных) парков, промышленных технопарков частной формы собственности в целях предоставления суб</w:t>
      </w:r>
      <w:r>
        <w:rPr>
          <w:highlight w:val="none"/>
        </w:rPr>
        <w:t xml:space="preserve">сидий из областного бюджета Новосибирской области на возмещение таким управляющим компаниям части затрат на создание или увеличение площади территории индустриальных (промышленных) парков, промышленных технопарков» </w:t>
      </w:r>
      <w:r>
        <w:rPr>
          <w:highlight w:val="none"/>
        </w:rPr>
        <w:t xml:space="preserve">7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«7. Сведения по состоянию не ранее чем на первое число месяца, в котором подается </w:t>
      </w:r>
      <w:r>
        <w:rPr>
          <w:highlight w:val="none"/>
        </w:rPr>
        <w:t xml:space="preserve">заявка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</w:t>
      </w:r>
      <w:r>
        <w:rPr>
          <w:highlight w:val="none"/>
        </w:rPr>
        <w:t xml:space="preserve">алогового кодекса Российской Федерации (указанные сведения управляющие компании вправе представить по собственной инициативе. В случае если </w:t>
      </w:r>
      <w:r>
        <w:rPr>
          <w:highlight w:val="none"/>
        </w:rPr>
        <w:t xml:space="preserve">сведения</w:t>
      </w:r>
      <w:r>
        <w:rPr>
          <w:highlight w:val="none"/>
        </w:rPr>
        <w:t xml:space="preserve"> не представлен</w:t>
      </w:r>
      <w:r>
        <w:rPr>
          <w:highlight w:val="none"/>
        </w:rPr>
        <w:t xml:space="preserve">ы</w:t>
      </w:r>
      <w:r>
        <w:rPr>
          <w:highlight w:val="none"/>
        </w:rPr>
        <w:t xml:space="preserve">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взаимодействия). </w:t>
      </w:r>
      <w:r>
        <w:rPr>
          <w:rFonts w:eastAsia="Calibri"/>
          <w:highlight w:val="none"/>
        </w:rPr>
        <w:t xml:space="preserve">В случае наличия задолженности на первое число месяца и отсутствия данной задолженности н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а другое число данного месяца, в котором подается заявка, управляющие компании имеют право представить сведения </w:t>
      </w:r>
      <w:r>
        <w:rPr>
          <w:highlight w:val="none"/>
        </w:rPr>
        <w:t xml:space="preserve">об отсутствии задолженности в отрицательном сальдо единого налогового счета </w:t>
      </w:r>
      <w:r>
        <w:rPr>
          <w:rFonts w:eastAsia="Calibri"/>
          <w:highlight w:val="none"/>
        </w:rPr>
        <w:t xml:space="preserve">по состоянию на дату позднее первого числа месяца, в котором подается заявка.»</w:t>
      </w:r>
      <w:r>
        <w:rPr>
          <w:highlight w:val="none"/>
        </w:rPr>
        <w:t xml:space="preserve">.</w:t>
      </w:r>
      <w:bookmarkStart w:id="5" w:name="_GoBack"/>
      <w:r>
        <w:rPr>
          <w:highlight w:val="none"/>
        </w:rPr>
      </w:r>
      <w:bookmarkEnd w:id="5"/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4. В приложении № 24 «Порядок и условия предоставления субсидий из областного бюджета Новосибирской области на фин</w:t>
      </w:r>
      <w:r>
        <w:rPr>
          <w:highlight w:val="none"/>
        </w:rPr>
        <w:t xml:space="preserve">ансовое обеспечение управляющим компаниям индустриальных (промышленных) парков, промышленных технопарков частной формы собственности части затрат на создание или увеличение площади территории индустриальных (промышленных) парков, промышленных технопарков»: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в пункте 1 слова «от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>
        <w:rPr>
          <w:highlight w:val="none"/>
        </w:rPr>
        <w:t xml:space="preserve">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>
        <w:rPr>
          <w:highlight w:val="none"/>
        </w:rPr>
        <w:t xml:space="preserve">Правительства Российской Федерации» заменить словами «от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highlight w:val="none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пункт 5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«5. </w:t>
      </w:r>
      <w:r>
        <w:rPr>
          <w:rFonts w:eastAsia="Calibri"/>
          <w:highlight w:val="none"/>
          <w:lang w:eastAsia="en-US"/>
        </w:rPr>
        <w:t xml:space="preserve">Информация о субсидиях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размещается на едином портале бюджетной системы Российской Федерации в информационно-телекоммуникационной сети «Интернет» (http://budget.gov.ru) (далее – единый портал) </w:t>
      </w:r>
      <w:r>
        <w:rPr>
          <w:highlight w:val="none"/>
        </w:rPr>
        <w:t xml:space="preserve">(в разделе единого портала) в порядке, установленном Министерством финансов Российской Федерации</w:t>
      </w:r>
      <w:r>
        <w:rPr>
          <w:rFonts w:eastAsia="Calibri"/>
          <w:highlight w:val="none"/>
          <w:lang w:eastAsia="en-US"/>
        </w:rPr>
        <w:t xml:space="preserve"> (далее – Минфин России).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пункт 6 после слов «проводится МЭР НСО» дополнить словами «в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дополнить пунктами 6.1, 6.2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«6.1. Обеспечение доступа к системе «Электронный бюджет» осуществляется с использованием федеральной государственной информ</w:t>
      </w:r>
      <w:r>
        <w:rPr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6.2. Взаимодействие МЭР НСО с участниками отбора осуществляется с использованием документов в электронной форме.»;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в подпункте 1 пункта 7: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«а»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«а) на едином </w:t>
      </w:r>
      <w:r>
        <w:rPr>
          <w:highlight w:val="none"/>
        </w:rPr>
        <w:t xml:space="preserve">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абзаце «д» слова «</w:t>
      </w:r>
      <w:r>
        <w:rPr>
          <w:rFonts w:eastAsia="Calibri"/>
          <w:highlight w:val="none"/>
          <w:lang w:eastAsia="en-US"/>
        </w:rPr>
        <w:t xml:space="preserve">Министерством финансов Российской Федерации</w:t>
      </w:r>
      <w:r>
        <w:rPr>
          <w:highlight w:val="none"/>
        </w:rPr>
        <w:t xml:space="preserve"> (далее – Минфин России)</w:t>
      </w:r>
      <w:r>
        <w:rPr>
          <w:highlight w:val="none"/>
        </w:rPr>
        <w:t xml:space="preserve">» заменить словами «Минфином России»;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абзацами «ж», «з», «и»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«ж)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з) 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и) не является иностранным агентом в соответствии с Федеральным законом «О контроле за деятельностью лиц, находящихся под иностранным влиянием»;»;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6) в пункте 10: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</w:t>
      </w:r>
      <w:r>
        <w:rPr>
          <w:highlight w:val="none"/>
        </w:rPr>
        <w:t xml:space="preserve">бзац первый после слов «(далее – объявление)» дополнить слов</w:t>
      </w:r>
      <w:r>
        <w:rPr>
          <w:highlight w:val="none"/>
        </w:rPr>
        <w:t xml:space="preserve">ами «формируется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области и»;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в подпункте 4 слова «</w:t>
      </w:r>
      <w:r>
        <w:rPr>
          <w:rFonts w:eastAsia="Calibri"/>
          <w:highlight w:val="none"/>
          <w:lang w:eastAsia="en-US"/>
        </w:rPr>
        <w:t xml:space="preserve">, или иного сайта в информационно-телекоммуникационной сети «Интернет», на котором обеспечивается проведение регионального отбора</w:t>
      </w:r>
      <w:r>
        <w:rPr>
          <w:highlight w:val="none"/>
        </w:rPr>
        <w:t xml:space="preserve">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в) дополнить подпунктами 10.1, 10.2, 10.3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«10.1) порядка возврата заявок на доработку;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10.2) порядка отклонения заявок, а также информации об основаниях их отклонения;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10.3) объема распределяемой субсидии в рамках отбора, порядка расчета размера субсидии, правил распределения субсидии по результатам отбора в соответствии с пунктом 3 настоящего Порядка»;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7) дополнить пунктом 10.1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«10.1. </w:t>
      </w:r>
      <w:r>
        <w:rPr>
          <w:highlight w:val="none"/>
        </w:rPr>
        <w:t xml:space="preserve">Размещение МЭР НСО объявления об отмене проведения регионального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</w:t>
      </w:r>
      <w:r>
        <w:rPr>
          <w:highlight w:val="none"/>
        </w:rPr>
        <w:t xml:space="preserve">в случае 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Российской Федерации «Развитие промышленности и повышение ее конкурентоспособности»</w:t>
      </w:r>
      <w:r>
        <w:rPr>
          <w:highlight w:val="none"/>
        </w:rPr>
        <w:t xml:space="preserve">, </w:t>
      </w:r>
      <w:r>
        <w:rPr>
          <w:highlight w:val="none"/>
        </w:rPr>
        <w:t xml:space="preserve">изменения объемов финансирования соответствующего мероприятия </w:t>
      </w:r>
      <w:r>
        <w:rPr>
          <w:highlight w:val="none"/>
        </w:rPr>
        <w:t xml:space="preserve">государственной программы Новосибирской области </w:t>
      </w:r>
      <w:r>
        <w:rPr>
          <w:highlight w:val="none"/>
        </w:rPr>
        <w:t xml:space="preserve">«Стимулирование инвестиционной активности в Новосибирской области»</w:t>
      </w:r>
      <w:r>
        <w:rPr>
          <w:highlight w:val="none"/>
        </w:rPr>
        <w:t xml:space="preserve">, невозможности проведения регионального отбора, выявления необходимости уточнения условий регионального отбора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Объявление об отмене регионального отбора формируется в электронной форме посредством заполнения соответствующих экранных форм веб-</w:t>
      </w:r>
      <w:r>
        <w:rPr>
          <w:highlight w:val="none"/>
        </w:rPr>
        <w:t xml:space="preserve">интерфейса системы «Э</w:t>
      </w:r>
      <w:r>
        <w:rPr>
          <w:highlight w:val="none"/>
        </w:rPr>
        <w:t xml:space="preserve">лектронный бюджет», подписывается усиленной квалифицированной электронной подписью министра экономического развития Новосибирской области (уполномоченного им лица), размещается на едином портале и содержит информацию о причинах отмены регионального отбора.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Участники регионального отбора, подавшие заявки, информируются об отмене проведения регионального отбора в системе «Электронный бюджет».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Региональный отбор считается отмененным со дня размещения объявления о его отмене на едином портале.»;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8) в пункте 11: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«Заявка формируется участниками отбора в электронной форме посредством заполнения соответствующих экранных фо</w:t>
      </w:r>
      <w:r>
        <w:rPr>
          <w:highlight w:val="none"/>
        </w:rPr>
        <w:t xml:space="preserve">рм веб-интерфейса системы «Электронный бюджет» и представления в систему «Электронный бюджет» копий документов (документов на бумажном носителе, преобразованных в электронную форму путем сканирования), предусмотренных приложением № 2 к настоящему Порядку. </w:t>
      </w:r>
      <w:r>
        <w:rPr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и считается представленной в МЭР с даты ее подписания с присвоением ей регистрационного номера в системе «Электронный бюджет».»;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абзацем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«Внесение изменений в заявку осуществляется участником отбора в порядке, аналогичном порядку формирования заявки участником отбора.»;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9) дополнить пунктами 11.1, 11.2, 11.3 следующего содержания: 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«11.1. </w:t>
      </w:r>
      <w:r>
        <w:rPr>
          <w:highlight w:val="none"/>
        </w:rPr>
        <w:t xml:space="preserve">Рассмотрение заявок осуществляется</w:t>
      </w:r>
      <w:r>
        <w:rPr>
          <w:highlight w:val="none"/>
        </w:rPr>
        <w:t xml:space="preserve"> комиссией </w:t>
      </w:r>
      <w:r>
        <w:rPr>
          <w:rFonts w:eastAsia="Calibri"/>
          <w:highlight w:val="none"/>
          <w:lang w:eastAsia="en-US"/>
        </w:rPr>
        <w:t xml:space="preserve">по региональному отбору проектов управляющих компаний промышленных технопарков в сфере электронной промышленности по созданию, развитию и (или) модернизации объектов инфраструктуры (далее – комиссия)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11.2. Не позднее одного рабочего дня, следующего за днем окончания срока подачи заявок, установленного в объявлении, в системе «Электронный бюджет» </w:t>
      </w:r>
      <w:r>
        <w:rPr>
          <w:highlight w:val="none"/>
        </w:rPr>
        <w:t xml:space="preserve">открывается доступ МЭР НСО, а также комиссии к поданным участниками отбора заявкам для их рассмотрения.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11.3. Комиссия не позднее одного рабочего дня, следующего за днем вскрытия заявок, установленного в объявлении, подписывает протокол вскрытия заявок, содержащий следующую информацию о поступивших для участия в региональном отборе заявках: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регистрационный номер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дата и время поступления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3) полное наименование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4) адрес участника регионального отбора;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5) запрашиваемый участником регионального отбора размер субсидии.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вскрытия заявок формируется на едином по</w:t>
      </w:r>
      <w:r>
        <w:rPr>
          <w:highlight w:val="none"/>
        </w:rPr>
        <w:t xml:space="preserve">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10) пункт 12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«12. Комиссия в течение 5 рабочих дней со дня окончания срока приема заявок проводит проверку заявки на предмет: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соответствия заявки требованиям, предусмотренным пунктом 11 настоящего Порядка;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</w:t>
      </w:r>
      <w:r>
        <w:rPr>
          <w:rFonts w:eastAsia="Calibri"/>
          <w:highlight w:val="none"/>
          <w:lang w:eastAsia="en-US"/>
        </w:rPr>
        <w:t xml:space="preserve"> соответствия парка и участника отбора требованиям, </w:t>
      </w:r>
      <w:r>
        <w:rPr>
          <w:highlight w:val="none"/>
        </w:rPr>
        <w:t xml:space="preserve">предусмотренным подпунктами 2-10 пункта 7 настоящего Порядка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Проверка участника отбора на соответствие требованиям, пре</w:t>
      </w:r>
      <w:r>
        <w:rPr>
          <w:highlight w:val="none"/>
        </w:rPr>
        <w:t xml:space="preserve">дусмотренным подпунктом 1 пункта 7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11) пункт 13 </w:t>
      </w:r>
      <w:r>
        <w:rPr>
          <w:highlight w:val="none"/>
        </w:rPr>
        <w:t xml:space="preserve">дополнить подпунктом 5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«5) непредставление (представление не в полном объеме) документов, указанных в объявлении о проведении отбора, предусмотренных пунктом 11 настоящего Порядка.»;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12) </w:t>
      </w:r>
      <w:r>
        <w:rPr>
          <w:highlight w:val="none"/>
        </w:rPr>
        <w:t xml:space="preserve">пункт 14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«14. При выявлении несоответствия хотя бы одному из условий и требований, предусмотренных пунктом 12 настоящего Порядка, комиссия принимает решение об отклонении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13) абзац первый пункта 15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14) пункты 16-17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15) </w:t>
      </w:r>
      <w:r>
        <w:rPr>
          <w:highlight w:val="none"/>
        </w:rPr>
        <w:t xml:space="preserve">пункт</w:t>
      </w:r>
      <w:r>
        <w:rPr>
          <w:highlight w:val="none"/>
        </w:rPr>
        <w:t xml:space="preserve"> 18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18. </w:t>
      </w:r>
      <w:r>
        <w:rPr>
          <w:rFonts w:eastAsia="Calibri"/>
          <w:highlight w:val="none"/>
          <w:lang w:eastAsia="en-US"/>
        </w:rPr>
        <w:t xml:space="preserve">Прошедшими региональный отбор признаются проекты,</w:t>
      </w:r>
      <w:r>
        <w:rPr>
          <w:rFonts w:eastAsia="Calibri"/>
          <w:highlight w:val="none"/>
          <w:lang w:eastAsia="en-US"/>
        </w:rPr>
        <w:t xml:space="preserve"> заявки в отношении которых на дату их рассмотрения поданы участниками отбора с соблюдением условий и требований, установленных абзацами «а»-«и» подпункта 1, подпунктами 2-10 пункта 7, пунктом 11 настоящего Порядка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Ранжирование представленных заявок </w:t>
      </w:r>
      <w:r>
        <w:rPr>
          <w:highlight w:val="none"/>
        </w:rPr>
        <w:t xml:space="preserve">осуществляется исходя из соответствия участников отбора требованиям, установленным настоящим Порядком, и очередности их </w:t>
      </w:r>
      <w:r>
        <w:rPr>
          <w:highlight w:val="none"/>
        </w:rPr>
        <w:t xml:space="preserve">поступления.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16) дополнить пунктом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18.1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«18.1.</w:t>
      </w:r>
      <w:r>
        <w:rPr>
          <w:highlight w:val="none"/>
        </w:rPr>
        <w:t xml:space="preserve"> Региональный отбор признается несостоявшимся в следующих случаях: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1) по окончании срока проведения отбора не подано ни одной заявки;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2) по результатам рассмотрения заявок отклонены все заявки.»;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17) пункт 19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19. </w:t>
      </w:r>
      <w:r>
        <w:rPr>
          <w:highlight w:val="none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</w:t>
      </w:r>
      <w:r>
        <w:rPr>
          <w:highlight w:val="none"/>
        </w:rPr>
        <w:t xml:space="preserve">ол рассмотрения заявок, включающий информацию о количестве поступивших и рассмотренных заявок, а также информацию по каждому участнику регионального отбора о признании его заявки надлежащей или об отклонении его заявки с указанием оснований для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рассмотрения заявок формируется на едином портале автоматически на основании результатов</w:t>
      </w:r>
      <w:r>
        <w:rPr>
          <w:highlight w:val="none"/>
        </w:rPr>
        <w:t xml:space="preserve"> 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18) дополнить пунктом 19.1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19.1. </w:t>
      </w:r>
      <w:r>
        <w:rPr>
          <w:highlight w:val="none"/>
        </w:rPr>
        <w:t xml:space="preserve">В целях завершения </w:t>
      </w:r>
      <w:r>
        <w:rPr>
          <w:highlight w:val="none"/>
        </w:rPr>
        <w:t xml:space="preserve">регионального отбора и определения его победителей формируется протокол подведения итогов регионального отбора, включающий информацию о победителях регионального отбора с указанием размера субсидии , предусмотренной им для предоставления</w:t>
      </w:r>
      <w:r>
        <w:rPr>
          <w:highlight w:val="none"/>
        </w:rPr>
        <w:t xml:space="preserve">,</w:t>
      </w:r>
      <w:r>
        <w:rPr>
          <w:highlight w:val="none"/>
        </w:rPr>
        <w:t xml:space="preserve">об отклонении заявок с указанием оснований для их отклонения.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Размер субсидии в протоколе подведения итогов регионального отбора </w:t>
      </w:r>
      <w:r>
        <w:rPr>
          <w:color w:val="000000" w:themeColor="text1"/>
          <w:highlight w:val="none"/>
        </w:rPr>
        <w:t xml:space="preserve">указывается исходя из </w:t>
      </w:r>
      <w:r>
        <w:rPr>
          <w:color w:val="000000" w:themeColor="text1"/>
          <w:highlight w:val="none"/>
        </w:rPr>
        <w:t xml:space="preserve">объема бюджетных ассигнований областного бюджета Новосибирской области на исполнение расходного обязательства Новосибирской области, </w:t>
      </w:r>
      <w:r>
        <w:rPr>
          <w:color w:val="000000" w:themeColor="text1"/>
          <w:highlight w:val="none"/>
        </w:rPr>
        <w:t xml:space="preserve">софинансирование</w:t>
      </w:r>
      <w:r>
        <w:rPr>
          <w:color w:val="000000" w:themeColor="text1"/>
          <w:highlight w:val="none"/>
        </w:rPr>
        <w:t xml:space="preserve"> которого осуществляется из федерального бюджета</w:t>
      </w:r>
      <w:r>
        <w:rPr>
          <w:color w:val="000000" w:themeColor="text1"/>
          <w:highlight w:val="none"/>
        </w:rPr>
        <w:t xml:space="preserve">. Размер субсидии, предоставляемой управляющей компании при соблюдении условий, предусмотренных пунктом 22 настоящего Порядка, определяется в соответствии с пунктом 3 настоящего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Протокол подведения итогов регионального отбора формируется на едином портале автоматически на основании резу</w:t>
      </w:r>
      <w:r>
        <w:rPr>
          <w:highlight w:val="none"/>
        </w:rPr>
        <w:t xml:space="preserve">льтатов определения победителей регионального отбора и подписывается усиленной квалифицированной электронной подписью председателя комиссии и членов комиссии, а также размещается на едином портале не позднее рабочего дня, следующего за днем его подписания.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19) пункт 22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«22. </w:t>
      </w:r>
      <w:r>
        <w:rPr>
          <w:rFonts w:eastAsia="Calibri"/>
          <w:highlight w:val="none"/>
          <w:lang w:eastAsia="en-US"/>
        </w:rPr>
        <w:t xml:space="preserve">В случае признания проекта прошедшим федеральный отбор, а также при условии соответствия управляющей компании на дату заключения соглашения требованиям, предусмотренным абзацами «а»-«и» подпункта 1 пункта 7 настоящего Порядка,</w:t>
      </w:r>
      <w:r>
        <w:rPr>
          <w:rFonts w:eastAsia="Calibri"/>
          <w:highlight w:val="none"/>
          <w:lang w:eastAsia="en-US"/>
        </w:rPr>
        <w:t xml:space="preserve"> МЭР НСО в соответствии с распоряжением Правительства Новосибирской области в течение срока, указанного в объявлении, заключает с управляющей компанией соглашение о предоставлении субсидии из областного бюджета Новосибирской области (далее – соглашение).»;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20) пункт 23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23. Соглашение, дополнительное соглашение о внесении в него изменений, а также дополнительное соглашение о его расторжении </w:t>
      </w:r>
      <w:r>
        <w:rPr>
          <w:rFonts w:eastAsia="Calibri"/>
          <w:highlight w:val="none"/>
          <w:lang w:eastAsia="en-US"/>
        </w:rPr>
        <w:t xml:space="preserve">подготавливаются (формируются) и </w:t>
      </w:r>
      <w:r>
        <w:rPr>
          <w:rFonts w:eastAsia="Calibri"/>
          <w:highlight w:val="none"/>
          <w:lang w:eastAsia="en-US"/>
        </w:rPr>
        <w:t xml:space="preserve">заключаются </w:t>
      </w:r>
      <w:r>
        <w:rPr>
          <w:rFonts w:eastAsia="Calibri"/>
          <w:highlight w:val="none"/>
          <w:lang w:eastAsia="en-US"/>
        </w:rPr>
        <w:t xml:space="preserve">в системе «Электронный бюджет»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в соответствии с типовой формой, установленной Минфином России, </w:t>
      </w:r>
      <w:r>
        <w:rPr>
          <w:rFonts w:eastAsia="Calibri"/>
          <w:highlight w:val="none"/>
          <w:lang w:eastAsia="en-US"/>
        </w:rPr>
        <w:t xml:space="preserve">с учетом требований к соглашению, указанных в пункте 25 настоящего Порядка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21) пункт 24 признать утратившим силу;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22) в пункте 25: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а) абзац первый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«Соглашение должно включать следующие положения:»;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б) дополнить подпунктами 19, 20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«19) условие о внесении изменений в соглашение пу</w:t>
      </w:r>
      <w:r>
        <w:rPr>
          <w:highlight w:val="none"/>
        </w:rPr>
        <w:t xml:space="preserve">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управляющей компании, в форме слияния, присоединения или преобразования;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20) 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управляющей компанией обязате</w:t>
      </w:r>
      <w:r>
        <w:rPr>
          <w:highlight w:val="none"/>
        </w:rPr>
        <w:t xml:space="preserve">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 при реорганизации управляющей компании в форме разделения, выделения, а также при ее ликвидации.»;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23) пункт 27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«27. </w:t>
      </w:r>
      <w:r>
        <w:rPr>
          <w:rFonts w:eastAsia="Calibri"/>
          <w:highlight w:val="none"/>
          <w:lang w:eastAsia="en-US"/>
        </w:rPr>
        <w:t xml:space="preserve">В случае </w:t>
      </w:r>
      <w:r>
        <w:rPr>
          <w:rFonts w:eastAsia="Calibri"/>
          <w:highlight w:val="none"/>
          <w:lang w:eastAsia="en-US"/>
        </w:rPr>
        <w:t xml:space="preserve">неподписания</w:t>
      </w:r>
      <w:r>
        <w:rPr>
          <w:rFonts w:eastAsia="Calibri"/>
          <w:highlight w:val="none"/>
          <w:lang w:eastAsia="en-US"/>
        </w:rPr>
        <w:t xml:space="preserve"> управляющей компанией соглашения в пределах срока, указанного в объявлении, она признается уклонившейся от заключения указанного соглашения.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  <w:rPrChange w:id="2" w:author="iue" w:date="2024-02-01T04:01:25Z" oouserid="iue">
            <w:rPr/>
          </w:rPrChange>
        </w:rPr>
      </w:r>
      <w:r>
        <w:rPr>
          <w:highlight w:val="none"/>
        </w:rPr>
        <w:t xml:space="preserve">24) в пункте 28 слова «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соглашениями, предусмотренными пунктом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22 настоящего Порядка</w:t>
      </w:r>
      <w:r>
        <w:rPr>
          <w:highlight w:val="none"/>
        </w:rPr>
        <w:t xml:space="preserve">» заменить словом «соглашением»;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25) подпункт 3 пункта 30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«3) сведения по состоянию не ранее чем на первое число месяца, в котором подается за</w:t>
      </w:r>
      <w:r>
        <w:rPr>
          <w:highlight w:val="none"/>
        </w:rPr>
        <w:t xml:space="preserve">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Нал</w:t>
      </w:r>
      <w:r>
        <w:rPr>
          <w:highlight w:val="none"/>
        </w:rPr>
        <w:t xml:space="preserve">огового кодекса Российской Федерации (указанные сведения управляющие компании вправе представить по собственной инициативе. В случае если сведения не представлены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взаимодействия);»;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26)</w:t>
      </w:r>
      <w:r>
        <w:rPr>
          <w:highlight w:val="none"/>
          <w:lang w:val="en-US"/>
        </w:rPr>
        <w:t xml:space="preserve"> </w:t>
      </w:r>
      <w:r>
        <w:rPr>
          <w:highlight w:val="none"/>
        </w:rPr>
        <w:t xml:space="preserve">пункт 34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</w:t>
      </w:r>
      <w:r>
        <w:rPr>
          <w:rFonts w:eastAsia="Calibri"/>
          <w:highlight w:val="none"/>
          <w:lang w:eastAsia="en-US"/>
        </w:rPr>
        <w:t xml:space="preserve">34. Управляющие компании представляют в МЭР НСО: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1) отчет о достижении значений результатов предоставления субсидии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Минфином России, ежеквартально до 30 числа месяца, следующего за отчетным;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2) отчет о расходах, источником финансового обеспечения которых является субсидия, по форме,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определенной типовой формой соглашения, установленной </w:t>
      </w:r>
      <w:r>
        <w:rPr>
          <w:rFonts w:eastAsia="Calibri"/>
          <w:highlight w:val="none"/>
          <w:lang w:eastAsia="en-US"/>
        </w:rPr>
        <w:t xml:space="preserve">Минфином России, ежеквартально до 30 числа месяца, следующего за отчетным;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3) отчет об исполнении условий предоставления бюджетных средств, включая информацию о </w:t>
      </w:r>
      <w:r>
        <w:rPr>
          <w:rFonts w:eastAsia="Calibri"/>
          <w:highlight w:val="none"/>
          <w:lang w:eastAsia="en-US"/>
        </w:rPr>
        <w:t xml:space="preserve">динамике достижения показателей паспорта проекта создания или увеличения площади парка, выполнении календарного плана работ по созданию объектов инфраструктуры парка </w:t>
      </w:r>
      <w:r>
        <w:rPr>
          <w:rFonts w:eastAsia="Calibri"/>
          <w:highlight w:val="none"/>
          <w:lang w:eastAsia="en-US"/>
        </w:rPr>
        <w:t xml:space="preserve">в порядке и </w:t>
      </w:r>
      <w:r>
        <w:rPr>
          <w:rFonts w:eastAsia="Calibri"/>
          <w:highlight w:val="none"/>
          <w:lang w:eastAsia="en-US"/>
        </w:rPr>
        <w:t xml:space="preserve">по форм</w:t>
      </w:r>
      <w:r>
        <w:rPr>
          <w:rFonts w:eastAsia="Calibri"/>
          <w:highlight w:val="none"/>
          <w:lang w:eastAsia="en-US"/>
        </w:rPr>
        <w:t xml:space="preserve">е</w:t>
      </w:r>
      <w:r>
        <w:rPr>
          <w:rFonts w:eastAsia="Calibri"/>
          <w:highlight w:val="none"/>
          <w:lang w:eastAsia="en-US"/>
        </w:rPr>
        <w:t xml:space="preserve">, установленным соглашением, ежегодно до 30 числа месяца, следующего за отчетным.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Отчетность, предусмотренная подпунктами 1-2 настоящего пункта, предоставляется в системе «Электронный бюджет.»;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27) дополнить пунктом 34.1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«34.1. МЭР НСО осуществляет проверку и принятие отчетов, указанных в пункте 34 настоящего Порядка, в срок, не превышающий 20 рабочих дней со дня их представления.»;</w:t>
      </w:r>
      <w:r>
        <w:rPr>
          <w:highlight w:val="none"/>
        </w:rPr>
      </w:r>
      <w:r>
        <w:rPr>
          <w:highlight w:val="none"/>
        </w:rPr>
      </w:r>
    </w:p>
    <w:p>
      <w:pPr>
        <w:ind w:right="-2"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28) пункт 36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«36. МЭР НСО и Минфин России проводят мониторинг достижения результатов предоставления субсидии исходя из достижения значений резу</w:t>
      </w:r>
      <w:r>
        <w:rPr>
          <w:highlight w:val="none"/>
        </w:rPr>
        <w:t xml:space="preserve">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Минфином России.»;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29) пункт 38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«38. </w:t>
      </w:r>
      <w:r>
        <w:rPr>
          <w:rFonts w:eastAsia="Calibri"/>
          <w:highlight w:val="none"/>
          <w:lang w:eastAsia="en-US"/>
        </w:rPr>
        <w:t xml:space="preserve">В случае нарушения управляющей компанией условий, установленных при предоставлении субсидии, выявленного в том числе по фактам проверок, проведенных МЭР НСО и органами государственного (муниципального) финансового контроля, а также в случае </w:t>
      </w:r>
      <w:r>
        <w:rPr>
          <w:rFonts w:eastAsia="Calibri"/>
          <w:highlight w:val="none"/>
          <w:lang w:eastAsia="en-US"/>
        </w:rPr>
        <w:t xml:space="preserve">недостижения</w:t>
      </w:r>
      <w:r>
        <w:rPr>
          <w:rFonts w:eastAsia="Calibri"/>
          <w:highlight w:val="none"/>
          <w:lang w:eastAsia="en-US"/>
        </w:rPr>
        <w:t xml:space="preserve"> результатов предоставления субсидии объем средств, определенный суммой субсидии, использованный с нарушением</w:t>
      </w:r>
      <w:r>
        <w:rPr>
          <w:rFonts w:eastAsia="Calibri"/>
          <w:highlight w:val="none"/>
          <w:lang w:eastAsia="en-US"/>
        </w:rPr>
        <w:t xml:space="preserve">, включая средства, полученные на основании договоров, заключенных с управляющей компанией</w:t>
      </w:r>
      <w:r>
        <w:rPr>
          <w:rFonts w:eastAsia="Calibri"/>
          <w:highlight w:val="none"/>
          <w:lang w:eastAsia="en-US"/>
        </w:rPr>
        <w:t xml:space="preserve">, подлежит возврату.»;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30) дополнить пунктом 40 следующего содержания: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«40. При реорганизации управляющей ком</w:t>
      </w:r>
      <w:r>
        <w:rPr>
          <w:rFonts w:eastAsia="Calibri"/>
          <w:highlight w:val="none"/>
          <w:lang w:eastAsia="en-US"/>
        </w:rPr>
        <w:t xml:space="preserve">пании,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widowControl w:val="off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При реорганизации управляющей компании в форме разделения, выделения, а также при ее ликвидации соглашение расторгается с формированием уведомления о расторжении соглашения в одностороннем порядке и акта об исполнении </w:t>
      </w:r>
      <w:r>
        <w:rPr>
          <w:rFonts w:eastAsia="Calibri"/>
          <w:highlight w:val="none"/>
          <w:lang w:eastAsia="en-US"/>
        </w:rPr>
        <w:t xml:space="preserve">обязательств по соглашению с отражением информации о неисполненных управляющей компанией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области.»;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31) в приложении № 1 «Заявление на участие в региональном отборе проектов управляющих</w:t>
      </w:r>
      <w:r>
        <w:rPr>
          <w:highlight w:val="none"/>
        </w:rPr>
        <w:t xml:space="preserve"> компаний индустриальных (промышленных) парков, промышленных технопарков частной формы собственности в целях предоставления субсидий из областного бюджета Новосибирской области на финансовое обеспечение таким управляющим компаниям части затрат на создание </w:t>
      </w:r>
      <w:r>
        <w:rPr>
          <w:highlight w:val="none"/>
        </w:rPr>
        <w:t xml:space="preserve">или увеличение площади территории индустриальных (промышленных) парков, промышленных технопарков»;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а) абзац третий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«на едином налоговом счете</w:t>
      </w:r>
      <w:r>
        <w:rPr>
          <w:highlight w:val="none"/>
        </w:rPr>
        <w:t xml:space="preserve"> участника отбора</w:t>
      </w:r>
      <w:r>
        <w:rPr>
          <w:highlight w:val="none"/>
        </w:rPr>
        <w:t xml:space="preserve">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б) </w:t>
      </w:r>
      <w:r>
        <w:rPr>
          <w:highlight w:val="none"/>
        </w:rPr>
        <w:t xml:space="preserve">после абзаца восьмого </w:t>
      </w:r>
      <w:r>
        <w:rPr>
          <w:highlight w:val="none"/>
        </w:rPr>
        <w:t xml:space="preserve">дополнить абзацами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не находится в составляемых в рамках реализации полномочий, предусмотренных главой VII Ус</w:t>
      </w:r>
      <w:r>
        <w:rPr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влиянием.»;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32) </w:t>
      </w:r>
      <w:r>
        <w:rPr>
          <w:highlight w:val="none"/>
        </w:rPr>
        <w:t xml:space="preserve">пункт 7 </w:t>
      </w:r>
      <w:r>
        <w:rPr>
          <w:highlight w:val="none"/>
        </w:rPr>
        <w:t xml:space="preserve">приложени</w:t>
      </w:r>
      <w:r>
        <w:rPr>
          <w:highlight w:val="none"/>
        </w:rPr>
        <w:t xml:space="preserve">я</w:t>
      </w:r>
      <w:r>
        <w:rPr>
          <w:highlight w:val="none"/>
        </w:rPr>
        <w:t xml:space="preserve"> № 2 «Перечень д</w:t>
      </w:r>
      <w:r>
        <w:rPr>
          <w:highlight w:val="none"/>
        </w:rPr>
        <w:t xml:space="preserve">окументов, представляемых в составе заявки управляющей компании на участие в региональном отборе проектов управляющих компаний индустриальных (промышленных) парков, промышленных технопарков частной формы собственности в целях предоставления субсидий из обл</w:t>
      </w:r>
      <w:r>
        <w:rPr>
          <w:highlight w:val="none"/>
        </w:rPr>
        <w:t xml:space="preserve">астного бюджета Новосибирской области на финансовое обеспечение таким управляющим компаниям части затрат на создание или увеличение площади территории индустриальных (промышленных) парков, промышленных технопарков»</w:t>
      </w:r>
      <w:r>
        <w:rPr>
          <w:highlight w:val="none"/>
        </w:rPr>
        <w:t xml:space="preserve">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«7. Сведения по состоянию не ранее чем на первое число месяца, в котором подается </w:t>
      </w:r>
      <w:r>
        <w:rPr>
          <w:highlight w:val="none"/>
        </w:rPr>
        <w:t xml:space="preserve">заявка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</w:t>
      </w:r>
      <w:r>
        <w:rPr>
          <w:highlight w:val="none"/>
        </w:rPr>
        <w:t xml:space="preserve">алогового кодекса Российской Федерации (указанные сведения управляющие компании вправе представить по собственной инициативе. В случае если </w:t>
      </w:r>
      <w:r>
        <w:rPr>
          <w:highlight w:val="none"/>
        </w:rPr>
        <w:t xml:space="preserve">сведения</w:t>
      </w:r>
      <w:r>
        <w:rPr>
          <w:highlight w:val="none"/>
        </w:rPr>
        <w:t xml:space="preserve"> не представлен</w:t>
      </w:r>
      <w:r>
        <w:rPr>
          <w:highlight w:val="none"/>
        </w:rPr>
        <w:t xml:space="preserve">ы</w:t>
      </w:r>
      <w:r>
        <w:rPr>
          <w:highlight w:val="none"/>
        </w:rPr>
        <w:t xml:space="preserve"> управляющей компанией, МЭР НСО запрашивает </w:t>
      </w:r>
      <w:r>
        <w:rPr>
          <w:highlight w:val="none"/>
        </w:rPr>
        <w:t xml:space="preserve">их</w:t>
      </w:r>
      <w:r>
        <w:rPr>
          <w:highlight w:val="none"/>
        </w:rPr>
        <w:t xml:space="preserve"> в порядке межведомственного взаимодействия). </w:t>
      </w:r>
      <w:r>
        <w:rPr>
          <w:rFonts w:eastAsia="Calibri"/>
          <w:highlight w:val="none"/>
        </w:rPr>
        <w:t xml:space="preserve">В случае наличия задолженности на первое число месяца и отсутствия данной задолженности на другое число данного месяца, в котором подается заявка, управляющие компании имеют право представить сведения </w:t>
      </w:r>
      <w:r>
        <w:rPr>
          <w:highlight w:val="none"/>
        </w:rPr>
        <w:t xml:space="preserve">об отсутствии задолженности в отрицательном сальдо единого налогового счета </w:t>
      </w:r>
      <w:r>
        <w:rPr>
          <w:rFonts w:eastAsia="Calibri"/>
          <w:highlight w:val="none"/>
        </w:rPr>
        <w:t xml:space="preserve">по состоянию на дату позднее первого числа месяца, в котором подается заявка.»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Губернатор Новосибирской области А.А. Травников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br/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highlight w:val="none"/>
        </w:rPr>
      </w:pPr>
      <w:r>
        <w:rPr>
          <w:rFonts w:ascii="Times New Roman" w:hAnsi="Times New Roman" w:cs="Times New Roman" w:eastAsiaTheme="minorHAnsi"/>
          <w:highlight w:val="none"/>
          <w:lang w:eastAsia="en-US"/>
        </w:rPr>
      </w:r>
      <w:r>
        <w:rPr>
          <w:rFonts w:ascii="Times New Roman" w:hAnsi="Times New Roman" w:cs="Times New Roman" w:eastAsiaTheme="minorHAnsi"/>
          <w:highlight w:val="none"/>
        </w:rPr>
      </w:r>
      <w:r>
        <w:rPr>
          <w:rFonts w:ascii="Times New Roman" w:hAnsi="Times New Roman" w:cs="Times New Roman" w:eastAsiaTheme="minorHAnsi"/>
          <w:highlight w:val="none"/>
        </w:rPr>
      </w:r>
    </w:p>
    <w:p>
      <w:pPr>
        <w:pStyle w:val="931"/>
        <w:ind w:firstLine="0"/>
        <w:jc w:val="both"/>
        <w:rPr>
          <w:rFonts w:ascii="Times New Roman" w:hAnsi="Times New Roman" w:cs="Times New Roman" w:eastAsiaTheme="minorHAnsi"/>
          <w:highlight w:val="none"/>
          <w:lang w:eastAsia="en-US"/>
        </w:rPr>
      </w:pPr>
      <w:r>
        <w:rPr>
          <w:rFonts w:ascii="Times New Roman" w:hAnsi="Times New Roman" w:cs="Times New Roman" w:eastAsiaTheme="minorHAnsi"/>
          <w:highlight w:val="none"/>
          <w:lang w:eastAsia="en-US"/>
        </w:rPr>
        <w:t xml:space="preserve">Л.Н. Решетников</w:t>
      </w:r>
      <w:r>
        <w:rPr>
          <w:rFonts w:ascii="Times New Roman" w:hAnsi="Times New Roman" w:cs="Times New Roman" w:eastAsiaTheme="minorHAnsi"/>
          <w:highlight w:val="none"/>
          <w:lang w:eastAsia="en-US"/>
        </w:rPr>
      </w:r>
      <w:r>
        <w:rPr>
          <w:rFonts w:ascii="Times New Roman" w:hAnsi="Times New Roman" w:cs="Times New Roman" w:eastAsiaTheme="minorHAnsi"/>
          <w:highlight w:val="none"/>
          <w:lang w:eastAsia="en-US"/>
        </w:rPr>
      </w:r>
    </w:p>
    <w:p>
      <w:pPr>
        <w:pStyle w:val="931"/>
        <w:ind w:firstLine="0"/>
        <w:jc w:val="both"/>
        <w:rPr>
          <w:highlight w:val="none"/>
        </w:rPr>
        <w:sectPr>
          <w:headerReference w:type="default" r:id="rId9"/>
          <w:footerReference w:type="first" r:id="rId10"/>
          <w:footnotePr/>
          <w:endnotePr/>
          <w:type w:val="nextPage"/>
          <w:pgSz w:w="11907" w:h="16840" w:orient="portrait"/>
          <w:pgMar w:top="1134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 w:eastAsiaTheme="minorHAnsi"/>
          <w:highlight w:val="none"/>
          <w:lang w:eastAsia="en-US"/>
        </w:rPr>
        <w:t xml:space="preserve">238 66 81</w:t>
      </w:r>
      <w:r>
        <w:rPr>
          <w:highlight w:val="none"/>
        </w:rPr>
      </w:r>
      <w:r>
        <w:rPr>
          <w:highlight w:val="none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6"/>
        <w:gridCol w:w="1843"/>
        <w:gridCol w:w="3544"/>
      </w:tblGrid>
      <w:tr>
        <w:trPr>
          <w:trHeight w:val="1701" w:hRule="exact"/>
        </w:trPr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08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 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8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«___» ___________ 20</w:t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701" w:hRule="exact"/>
        </w:trPr>
        <w:tc>
          <w:tcPr>
            <w:tcW w:w="478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Правительства Новосибирской области </w:t>
            </w:r>
            <w:r>
              <w:rPr>
                <w:sz w:val="28"/>
                <w:szCs w:val="28"/>
              </w:rPr>
              <w:t xml:space="preserve">– министр финансов и налоговой </w:t>
            </w:r>
            <w:r>
              <w:rPr>
                <w:sz w:val="28"/>
                <w:szCs w:val="28"/>
              </w:rPr>
              <w:t xml:space="preserve">политики Новосибирской области</w:t>
            </w:r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В.Ю. Голубенко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«___» ___________ 20</w:t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108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701" w:hRule="exact"/>
        </w:trPr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08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Л.Н. </w:t>
            </w:r>
            <w:r>
              <w:rPr>
                <w:sz w:val="28"/>
                <w:szCs w:val="28"/>
              </w:rPr>
              <w:t xml:space="preserve">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7" w:right="-108"/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«___» ___________ 20</w:t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 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701" w:hRule="exact"/>
        </w:trPr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. 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7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 20</w:t>
            </w: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931"/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4"/>
  </w:num>
  <w:num w:numId="14">
    <w:abstractNumId w:val="19"/>
  </w:num>
  <w:num w:numId="15">
    <w:abstractNumId w:val="20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  <w:rPr>
      <w:sz w:val="28"/>
      <w:szCs w:val="28"/>
    </w:rPr>
  </w:style>
  <w:style w:type="paragraph" w:styleId="726">
    <w:name w:val="Heading 1"/>
    <w:basedOn w:val="725"/>
    <w:next w:val="725"/>
    <w:link w:val="90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27">
    <w:name w:val="Heading 2"/>
    <w:basedOn w:val="725"/>
    <w:next w:val="725"/>
    <w:link w:val="901"/>
    <w:uiPriority w:val="99"/>
    <w:qFormat/>
    <w:pPr>
      <w:jc w:val="center"/>
      <w:keepNext/>
      <w:outlineLvl w:val="1"/>
    </w:pPr>
  </w:style>
  <w:style w:type="paragraph" w:styleId="728">
    <w:name w:val="Heading 3"/>
    <w:basedOn w:val="725"/>
    <w:next w:val="725"/>
    <w:link w:val="902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729">
    <w:name w:val="Heading 4"/>
    <w:basedOn w:val="725"/>
    <w:next w:val="725"/>
    <w:link w:val="903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730">
    <w:name w:val="Heading 5"/>
    <w:basedOn w:val="725"/>
    <w:next w:val="725"/>
    <w:link w:val="904"/>
    <w:uiPriority w:val="99"/>
    <w:qFormat/>
    <w:pPr>
      <w:ind w:firstLine="709"/>
      <w:jc w:val="right"/>
      <w:keepNext/>
      <w:outlineLvl w:val="4"/>
    </w:pPr>
  </w:style>
  <w:style w:type="paragraph" w:styleId="731">
    <w:name w:val="Heading 6"/>
    <w:basedOn w:val="725"/>
    <w:next w:val="725"/>
    <w:link w:val="905"/>
    <w:uiPriority w:val="99"/>
    <w:qFormat/>
    <w:pPr>
      <w:keepNext/>
      <w:outlineLvl w:val="5"/>
    </w:pPr>
  </w:style>
  <w:style w:type="paragraph" w:styleId="732">
    <w:name w:val="Heading 7"/>
    <w:basedOn w:val="725"/>
    <w:next w:val="725"/>
    <w:link w:val="906"/>
    <w:uiPriority w:val="99"/>
    <w:qFormat/>
    <w:pPr>
      <w:jc w:val="both"/>
      <w:keepNext/>
      <w:outlineLvl w:val="6"/>
    </w:pPr>
  </w:style>
  <w:style w:type="paragraph" w:styleId="733">
    <w:name w:val="Heading 8"/>
    <w:basedOn w:val="725"/>
    <w:next w:val="725"/>
    <w:link w:val="907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734">
    <w:name w:val="Heading 9"/>
    <w:basedOn w:val="725"/>
    <w:next w:val="725"/>
    <w:link w:val="908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Quote Char"/>
    <w:uiPriority w:val="29"/>
    <w:rPr>
      <w:i/>
    </w:rPr>
  </w:style>
  <w:style w:type="character" w:styleId="739" w:customStyle="1">
    <w:name w:val="Intense Quote Char"/>
    <w:uiPriority w:val="30"/>
    <w:rPr>
      <w:i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basedOn w:val="735"/>
    <w:uiPriority w:val="10"/>
    <w:rPr>
      <w:sz w:val="48"/>
      <w:szCs w:val="48"/>
    </w:rPr>
  </w:style>
  <w:style w:type="character" w:styleId="751" w:customStyle="1">
    <w:name w:val="Subtitle Char"/>
    <w:basedOn w:val="735"/>
    <w:uiPriority w:val="11"/>
    <w:rPr>
      <w:sz w:val="24"/>
      <w:szCs w:val="24"/>
    </w:rPr>
  </w:style>
  <w:style w:type="paragraph" w:styleId="752">
    <w:name w:val="Quote"/>
    <w:basedOn w:val="725"/>
    <w:next w:val="725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5"/>
    <w:next w:val="725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5"/>
    <w:uiPriority w:val="99"/>
  </w:style>
  <w:style w:type="character" w:styleId="757" w:customStyle="1">
    <w:name w:val="Footer Char"/>
    <w:basedOn w:val="735"/>
    <w:uiPriority w:val="99"/>
  </w:style>
  <w:style w:type="paragraph" w:styleId="758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>
    <w:name w:val="Plain Table 1"/>
    <w:basedOn w:val="73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73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73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73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73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73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basedOn w:val="73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>
    <w:name w:val="List Table 1 Light"/>
    <w:basedOn w:val="73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73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73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73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basedOn w:val="73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basedOn w:val="73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paragraph" w:styleId="886">
    <w:name w:val="endnote text"/>
    <w:basedOn w:val="725"/>
    <w:link w:val="887"/>
    <w:uiPriority w:val="99"/>
    <w:semiHidden/>
    <w:unhideWhenUsed/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35"/>
    <w:uiPriority w:val="99"/>
    <w:semiHidden/>
    <w:unhideWhenUsed/>
    <w:rPr>
      <w:vertAlign w:val="superscript"/>
    </w:rPr>
  </w:style>
  <w:style w:type="paragraph" w:styleId="889">
    <w:name w:val="toc 1"/>
    <w:basedOn w:val="725"/>
    <w:next w:val="725"/>
    <w:uiPriority w:val="39"/>
    <w:unhideWhenUsed/>
    <w:pPr>
      <w:spacing w:after="57"/>
    </w:pPr>
  </w:style>
  <w:style w:type="paragraph" w:styleId="890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1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2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93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4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5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6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897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725"/>
    <w:next w:val="725"/>
    <w:uiPriority w:val="99"/>
    <w:unhideWhenUsed/>
  </w:style>
  <w:style w:type="character" w:styleId="900" w:customStyle="1">
    <w:name w:val="Заголовок 1 Знак"/>
    <w:basedOn w:val="735"/>
    <w:link w:val="726"/>
    <w:uiPriority w:val="99"/>
    <w:rPr>
      <w:rFonts w:ascii="Cambria" w:hAnsi="Cambria" w:cs="Times New Roman"/>
      <w:b/>
      <w:sz w:val="32"/>
    </w:rPr>
  </w:style>
  <w:style w:type="character" w:styleId="901" w:customStyle="1">
    <w:name w:val="Заголовок 2 Знак"/>
    <w:basedOn w:val="735"/>
    <w:link w:val="727"/>
    <w:uiPriority w:val="99"/>
    <w:semiHidden/>
    <w:rPr>
      <w:rFonts w:ascii="Cambria" w:hAnsi="Cambria" w:cs="Times New Roman"/>
      <w:b/>
      <w:i/>
      <w:sz w:val="28"/>
    </w:rPr>
  </w:style>
  <w:style w:type="character" w:styleId="902" w:customStyle="1">
    <w:name w:val="Заголовок 3 Знак"/>
    <w:basedOn w:val="735"/>
    <w:link w:val="728"/>
    <w:uiPriority w:val="99"/>
    <w:semiHidden/>
    <w:rPr>
      <w:rFonts w:ascii="Cambria" w:hAnsi="Cambria" w:cs="Times New Roman"/>
      <w:b/>
      <w:sz w:val="26"/>
    </w:rPr>
  </w:style>
  <w:style w:type="character" w:styleId="903" w:customStyle="1">
    <w:name w:val="Заголовок 4 Знак"/>
    <w:basedOn w:val="735"/>
    <w:link w:val="729"/>
    <w:uiPriority w:val="99"/>
    <w:semiHidden/>
    <w:rPr>
      <w:rFonts w:ascii="Calibri" w:hAnsi="Calibri" w:cs="Times New Roman"/>
      <w:b/>
      <w:sz w:val="28"/>
    </w:rPr>
  </w:style>
  <w:style w:type="character" w:styleId="904" w:customStyle="1">
    <w:name w:val="Заголовок 5 Знак"/>
    <w:basedOn w:val="735"/>
    <w:link w:val="730"/>
    <w:uiPriority w:val="99"/>
    <w:semiHidden/>
    <w:rPr>
      <w:rFonts w:ascii="Calibri" w:hAnsi="Calibri" w:cs="Times New Roman"/>
      <w:b/>
      <w:i/>
      <w:sz w:val="26"/>
    </w:rPr>
  </w:style>
  <w:style w:type="character" w:styleId="905" w:customStyle="1">
    <w:name w:val="Заголовок 6 Знак"/>
    <w:basedOn w:val="735"/>
    <w:link w:val="731"/>
    <w:uiPriority w:val="99"/>
    <w:semiHidden/>
    <w:rPr>
      <w:rFonts w:ascii="Calibri" w:hAnsi="Calibri" w:cs="Times New Roman"/>
      <w:b/>
    </w:rPr>
  </w:style>
  <w:style w:type="character" w:styleId="906" w:customStyle="1">
    <w:name w:val="Заголовок 7 Знак"/>
    <w:basedOn w:val="735"/>
    <w:link w:val="732"/>
    <w:uiPriority w:val="99"/>
    <w:semiHidden/>
    <w:rPr>
      <w:rFonts w:ascii="Calibri" w:hAnsi="Calibri" w:cs="Times New Roman"/>
      <w:sz w:val="24"/>
    </w:rPr>
  </w:style>
  <w:style w:type="character" w:styleId="907" w:customStyle="1">
    <w:name w:val="Заголовок 8 Знак"/>
    <w:basedOn w:val="735"/>
    <w:link w:val="733"/>
    <w:uiPriority w:val="99"/>
    <w:semiHidden/>
    <w:rPr>
      <w:rFonts w:ascii="Calibri" w:hAnsi="Calibri" w:cs="Times New Roman"/>
      <w:i/>
      <w:sz w:val="24"/>
    </w:rPr>
  </w:style>
  <w:style w:type="character" w:styleId="908" w:customStyle="1">
    <w:name w:val="Заголовок 9 Знак"/>
    <w:basedOn w:val="735"/>
    <w:link w:val="734"/>
    <w:uiPriority w:val="99"/>
    <w:semiHidden/>
    <w:rPr>
      <w:rFonts w:ascii="Cambria" w:hAnsi="Cambria" w:cs="Times New Roman"/>
    </w:rPr>
  </w:style>
  <w:style w:type="paragraph" w:styleId="909">
    <w:name w:val="Balloon Text"/>
    <w:basedOn w:val="725"/>
    <w:link w:val="910"/>
    <w:uiPriority w:val="99"/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735"/>
    <w:link w:val="909"/>
    <w:uiPriority w:val="99"/>
    <w:rPr>
      <w:rFonts w:ascii="Tahoma" w:hAnsi="Tahoma" w:cs="Times New Roman"/>
      <w:sz w:val="16"/>
    </w:rPr>
  </w:style>
  <w:style w:type="paragraph" w:styleId="911">
    <w:name w:val="Body Text"/>
    <w:basedOn w:val="725"/>
    <w:link w:val="912"/>
    <w:uiPriority w:val="99"/>
    <w:pPr>
      <w:jc w:val="both"/>
    </w:pPr>
  </w:style>
  <w:style w:type="character" w:styleId="912" w:customStyle="1">
    <w:name w:val="Основной текст Знак"/>
    <w:basedOn w:val="735"/>
    <w:link w:val="911"/>
    <w:uiPriority w:val="99"/>
    <w:rPr>
      <w:rFonts w:cs="Times New Roman"/>
      <w:sz w:val="28"/>
    </w:rPr>
  </w:style>
  <w:style w:type="paragraph" w:styleId="913">
    <w:name w:val="Header"/>
    <w:basedOn w:val="725"/>
    <w:link w:val="914"/>
    <w:uiPriority w:val="99"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735"/>
    <w:link w:val="913"/>
    <w:uiPriority w:val="99"/>
    <w:rPr>
      <w:rFonts w:cs="Times New Roman"/>
      <w:sz w:val="28"/>
      <w:lang w:val="ru-RU" w:eastAsia="ru-RU"/>
    </w:rPr>
  </w:style>
  <w:style w:type="character" w:styleId="915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16">
    <w:name w:val="Footer"/>
    <w:basedOn w:val="725"/>
    <w:link w:val="917"/>
    <w:uiPriority w:val="99"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735"/>
    <w:link w:val="916"/>
    <w:uiPriority w:val="99"/>
    <w:rPr>
      <w:rFonts w:cs="Times New Roman"/>
      <w:sz w:val="28"/>
    </w:rPr>
  </w:style>
  <w:style w:type="paragraph" w:styleId="918">
    <w:name w:val="Body Text 2"/>
    <w:basedOn w:val="725"/>
    <w:link w:val="919"/>
    <w:uiPriority w:val="99"/>
    <w:pPr>
      <w:jc w:val="center"/>
    </w:pPr>
  </w:style>
  <w:style w:type="character" w:styleId="919" w:customStyle="1">
    <w:name w:val="Основной текст 2 Знак"/>
    <w:basedOn w:val="735"/>
    <w:link w:val="918"/>
    <w:uiPriority w:val="99"/>
    <w:semiHidden/>
    <w:rPr>
      <w:rFonts w:cs="Times New Roman"/>
      <w:sz w:val="28"/>
    </w:rPr>
  </w:style>
  <w:style w:type="paragraph" w:styleId="920">
    <w:name w:val="Body Text Indent 2"/>
    <w:basedOn w:val="725"/>
    <w:link w:val="921"/>
    <w:uiPriority w:val="99"/>
    <w:pPr>
      <w:ind w:left="283"/>
      <w:spacing w:after="120" w:line="480" w:lineRule="auto"/>
    </w:pPr>
  </w:style>
  <w:style w:type="character" w:styleId="921" w:customStyle="1">
    <w:name w:val="Основной текст с отступом 2 Знак"/>
    <w:basedOn w:val="735"/>
    <w:link w:val="920"/>
    <w:uiPriority w:val="99"/>
    <w:semiHidden/>
    <w:rPr>
      <w:rFonts w:cs="Times New Roman"/>
      <w:sz w:val="28"/>
    </w:rPr>
  </w:style>
  <w:style w:type="character" w:styleId="922">
    <w:name w:val="page number"/>
    <w:basedOn w:val="735"/>
    <w:uiPriority w:val="99"/>
    <w:rPr>
      <w:rFonts w:cs="Times New Roman"/>
    </w:rPr>
  </w:style>
  <w:style w:type="paragraph" w:styleId="923">
    <w:name w:val="Body Text Indent 3"/>
    <w:basedOn w:val="725"/>
    <w:link w:val="924"/>
    <w:uiPriority w:val="99"/>
    <w:pPr>
      <w:ind w:right="3117" w:firstLine="5954"/>
      <w:jc w:val="center"/>
      <w:outlineLvl w:val="0"/>
    </w:pPr>
  </w:style>
  <w:style w:type="character" w:styleId="924" w:customStyle="1">
    <w:name w:val="Основной текст с отступом 3 Знак"/>
    <w:basedOn w:val="735"/>
    <w:link w:val="923"/>
    <w:uiPriority w:val="99"/>
    <w:semiHidden/>
    <w:rPr>
      <w:rFonts w:cs="Times New Roman"/>
      <w:sz w:val="16"/>
    </w:rPr>
  </w:style>
  <w:style w:type="paragraph" w:styleId="925" w:customStyle="1">
    <w:name w:val="ConsNormal"/>
    <w:pPr>
      <w:ind w:firstLine="720"/>
    </w:pPr>
    <w:rPr>
      <w:rFonts w:ascii="Arial" w:hAnsi="Arial" w:cs="Arial"/>
    </w:rPr>
  </w:style>
  <w:style w:type="paragraph" w:styleId="926" w:customStyle="1">
    <w:name w:val="ConsNonformat"/>
    <w:rPr>
      <w:rFonts w:ascii="Courier New" w:hAnsi="Courier New" w:cs="Courier New"/>
    </w:rPr>
  </w:style>
  <w:style w:type="paragraph" w:styleId="927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28">
    <w:name w:val="Body Text 3"/>
    <w:basedOn w:val="725"/>
    <w:link w:val="929"/>
    <w:uiPriority w:val="99"/>
    <w:pPr>
      <w:jc w:val="both"/>
      <w:widowControl w:val="off"/>
    </w:pPr>
    <w:rPr>
      <w:sz w:val="24"/>
      <w:szCs w:val="24"/>
    </w:rPr>
  </w:style>
  <w:style w:type="character" w:styleId="929" w:customStyle="1">
    <w:name w:val="Основной текст 3 Знак"/>
    <w:basedOn w:val="735"/>
    <w:link w:val="928"/>
    <w:uiPriority w:val="99"/>
    <w:semiHidden/>
    <w:rPr>
      <w:rFonts w:cs="Times New Roman"/>
      <w:sz w:val="16"/>
    </w:rPr>
  </w:style>
  <w:style w:type="paragraph" w:styleId="930" w:customStyle="1">
    <w:name w:val="Заголовок4"/>
    <w:basedOn w:val="726"/>
    <w:next w:val="730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31" w:customStyle="1">
    <w:name w:val="ConsPlusNormal"/>
    <w:link w:val="1038"/>
    <w:qFormat/>
    <w:pPr>
      <w:ind w:firstLine="720"/>
      <w:widowControl w:val="off"/>
    </w:pPr>
    <w:rPr>
      <w:rFonts w:ascii="Arial" w:hAnsi="Arial" w:cs="Arial"/>
    </w:rPr>
  </w:style>
  <w:style w:type="paragraph" w:styleId="93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33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34">
    <w:name w:val="Normal (Web)"/>
    <w:basedOn w:val="725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35" w:customStyle="1">
    <w:name w:val="ConsPlusTitle"/>
    <w:rPr>
      <w:b/>
      <w:bCs/>
      <w:sz w:val="28"/>
      <w:szCs w:val="28"/>
    </w:rPr>
  </w:style>
  <w:style w:type="paragraph" w:styleId="936">
    <w:name w:val="Title"/>
    <w:basedOn w:val="725"/>
    <w:link w:val="937"/>
    <w:uiPriority w:val="99"/>
    <w:qFormat/>
    <w:pPr>
      <w:jc w:val="center"/>
    </w:pPr>
    <w:rPr>
      <w:b/>
      <w:bCs/>
      <w:sz w:val="24"/>
      <w:szCs w:val="24"/>
    </w:rPr>
  </w:style>
  <w:style w:type="character" w:styleId="937" w:customStyle="1">
    <w:name w:val="Заголовок Знак"/>
    <w:basedOn w:val="735"/>
    <w:link w:val="936"/>
    <w:uiPriority w:val="99"/>
    <w:rPr>
      <w:rFonts w:ascii="Cambria" w:hAnsi="Cambria" w:cs="Times New Roman"/>
      <w:b/>
      <w:sz w:val="32"/>
    </w:rPr>
  </w:style>
  <w:style w:type="paragraph" w:styleId="938" w:customStyle="1">
    <w:name w:val="Термин"/>
    <w:basedOn w:val="725"/>
    <w:next w:val="725"/>
    <w:uiPriority w:val="99"/>
    <w:rPr>
      <w:sz w:val="24"/>
      <w:szCs w:val="24"/>
      <w:lang w:val="pl-PL"/>
    </w:rPr>
  </w:style>
  <w:style w:type="paragraph" w:styleId="939" w:customStyle="1">
    <w:name w:val="H1"/>
    <w:basedOn w:val="725"/>
    <w:next w:val="725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40" w:customStyle="1">
    <w:name w:val="Список определений"/>
    <w:basedOn w:val="725"/>
    <w:next w:val="938"/>
    <w:uiPriority w:val="99"/>
    <w:pPr>
      <w:ind w:left="360"/>
    </w:pPr>
    <w:rPr>
      <w:sz w:val="24"/>
      <w:szCs w:val="24"/>
      <w:lang w:val="pl-PL"/>
    </w:rPr>
  </w:style>
  <w:style w:type="paragraph" w:styleId="941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42" w:customStyle="1">
    <w:name w:val="Preformat"/>
    <w:uiPriority w:val="99"/>
    <w:rPr>
      <w:rFonts w:ascii="Courier New" w:hAnsi="Courier New" w:cs="Courier New"/>
    </w:rPr>
  </w:style>
  <w:style w:type="paragraph" w:styleId="943">
    <w:name w:val="Block Text"/>
    <w:basedOn w:val="725"/>
    <w:uiPriority w:val="99"/>
    <w:pPr>
      <w:ind w:left="5954" w:right="-369" w:hanging="2126"/>
      <w:jc w:val="both"/>
    </w:pPr>
  </w:style>
  <w:style w:type="character" w:styleId="944" w:customStyle="1">
    <w:name w:val="Цветовое выделение"/>
    <w:uiPriority w:val="99"/>
    <w:rPr>
      <w:b/>
      <w:color w:val="000080"/>
      <w:sz w:val="20"/>
    </w:rPr>
  </w:style>
  <w:style w:type="character" w:styleId="945" w:customStyle="1">
    <w:name w:val="Не вступил в силу"/>
    <w:uiPriority w:val="99"/>
    <w:rPr>
      <w:color w:val="008080"/>
      <w:sz w:val="20"/>
    </w:rPr>
  </w:style>
  <w:style w:type="paragraph" w:styleId="946" w:customStyle="1">
    <w:name w:val="Таблицы (моноширинный)"/>
    <w:basedOn w:val="725"/>
    <w:next w:val="725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47">
    <w:name w:val="Plain Text"/>
    <w:basedOn w:val="725"/>
    <w:link w:val="948"/>
    <w:uiPriority w:val="99"/>
    <w:rPr>
      <w:rFonts w:ascii="Courier New" w:hAnsi="Courier New" w:cs="Courier New"/>
      <w:sz w:val="20"/>
      <w:szCs w:val="20"/>
    </w:rPr>
  </w:style>
  <w:style w:type="character" w:styleId="948" w:customStyle="1">
    <w:name w:val="Текст Знак"/>
    <w:basedOn w:val="735"/>
    <w:link w:val="947"/>
    <w:uiPriority w:val="99"/>
    <w:rPr>
      <w:rFonts w:ascii="Courier New" w:hAnsi="Courier New" w:cs="Times New Roman"/>
      <w:sz w:val="20"/>
    </w:rPr>
  </w:style>
  <w:style w:type="paragraph" w:styleId="949">
    <w:name w:val="footnote text"/>
    <w:basedOn w:val="725"/>
    <w:link w:val="950"/>
    <w:uiPriority w:val="99"/>
    <w:semiHidden/>
    <w:rPr>
      <w:sz w:val="20"/>
      <w:szCs w:val="20"/>
    </w:rPr>
  </w:style>
  <w:style w:type="character" w:styleId="950" w:customStyle="1">
    <w:name w:val="Текст сноски Знак"/>
    <w:basedOn w:val="735"/>
    <w:link w:val="949"/>
    <w:uiPriority w:val="99"/>
    <w:semiHidden/>
    <w:rPr>
      <w:rFonts w:cs="Times New Roman"/>
      <w:sz w:val="20"/>
    </w:rPr>
  </w:style>
  <w:style w:type="paragraph" w:styleId="951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52" w:customStyle="1">
    <w:name w:val="Основной шрифт абзаца1"/>
    <w:uiPriority w:val="99"/>
    <w:rPr>
      <w:sz w:val="20"/>
    </w:rPr>
  </w:style>
  <w:style w:type="paragraph" w:styleId="953" w:customStyle="1">
    <w:name w:val="Îñíîâíîé òåêñò"/>
    <w:basedOn w:val="954"/>
    <w:uiPriority w:val="99"/>
    <w:rPr>
      <w:sz w:val="28"/>
      <w:szCs w:val="28"/>
    </w:rPr>
  </w:style>
  <w:style w:type="paragraph" w:styleId="954" w:customStyle="1">
    <w:name w:val="Îáû÷íûé"/>
    <w:uiPriority w:val="99"/>
    <w:rPr>
      <w:lang w:eastAsia="ar-SA"/>
    </w:rPr>
  </w:style>
  <w:style w:type="character" w:styleId="955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56">
    <w:name w:val="Body Text Indent"/>
    <w:basedOn w:val="725"/>
    <w:link w:val="957"/>
    <w:uiPriority w:val="99"/>
    <w:pPr>
      <w:ind w:left="283"/>
      <w:spacing w:after="120"/>
    </w:pPr>
  </w:style>
  <w:style w:type="character" w:styleId="957" w:customStyle="1">
    <w:name w:val="Основной текст с отступом Знак"/>
    <w:basedOn w:val="735"/>
    <w:link w:val="956"/>
    <w:uiPriority w:val="99"/>
    <w:semiHidden/>
    <w:rPr>
      <w:rFonts w:cs="Times New Roman"/>
      <w:sz w:val="28"/>
    </w:rPr>
  </w:style>
  <w:style w:type="table" w:styleId="958">
    <w:name w:val="Table Grid"/>
    <w:basedOn w:val="73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>
    <w:name w:val="footnote reference"/>
    <w:basedOn w:val="735"/>
    <w:uiPriority w:val="99"/>
    <w:semiHidden/>
    <w:rPr>
      <w:rFonts w:cs="Times New Roman"/>
      <w:vertAlign w:val="superscript"/>
    </w:rPr>
  </w:style>
  <w:style w:type="paragraph" w:styleId="960" w:customStyle="1">
    <w:name w:val="Прижатый влево"/>
    <w:basedOn w:val="725"/>
    <w:next w:val="725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61">
    <w:name w:val="No Spacing"/>
    <w:link w:val="1039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62" w:customStyle="1">
    <w:name w:val="заголовок 1"/>
    <w:basedOn w:val="725"/>
    <w:next w:val="725"/>
    <w:uiPriority w:val="99"/>
    <w:pPr>
      <w:jc w:val="both"/>
      <w:keepNext/>
      <w:widowControl w:val="off"/>
      <w:outlineLvl w:val="0"/>
    </w:pPr>
  </w:style>
  <w:style w:type="paragraph" w:styleId="963" w:customStyle="1">
    <w:name w:val="Кому"/>
    <w:basedOn w:val="725"/>
    <w:uiPriority w:val="99"/>
    <w:rPr>
      <w:rFonts w:ascii="Baltica" w:hAnsi="Baltica" w:cs="Baltica"/>
      <w:sz w:val="24"/>
      <w:szCs w:val="24"/>
    </w:rPr>
  </w:style>
  <w:style w:type="paragraph" w:styleId="964" w:customStyle="1">
    <w:name w:val="заголовок 2"/>
    <w:basedOn w:val="725"/>
    <w:next w:val="725"/>
    <w:uiPriority w:val="99"/>
    <w:pPr>
      <w:keepNext/>
      <w:outlineLvl w:val="1"/>
    </w:pPr>
  </w:style>
  <w:style w:type="paragraph" w:styleId="965" w:customStyle="1">
    <w:name w:val="Цитаты"/>
    <w:basedOn w:val="725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66">
    <w:name w:val="Hyperlink"/>
    <w:basedOn w:val="735"/>
    <w:uiPriority w:val="99"/>
    <w:rPr>
      <w:rFonts w:cs="Times New Roman"/>
      <w:color w:val="0000ff"/>
      <w:u w:val="single"/>
    </w:rPr>
  </w:style>
  <w:style w:type="paragraph" w:styleId="967" w:customStyle="1">
    <w:name w:val="заголовок 3"/>
    <w:basedOn w:val="725"/>
    <w:next w:val="725"/>
    <w:uiPriority w:val="99"/>
    <w:pPr>
      <w:jc w:val="center"/>
      <w:keepNext/>
    </w:pPr>
    <w:rPr>
      <w:lang w:val="en-US"/>
    </w:rPr>
  </w:style>
  <w:style w:type="character" w:styleId="968">
    <w:name w:val="Strong"/>
    <w:basedOn w:val="735"/>
    <w:uiPriority w:val="99"/>
    <w:qFormat/>
    <w:rPr>
      <w:rFonts w:cs="Times New Roman"/>
      <w:b/>
    </w:rPr>
  </w:style>
  <w:style w:type="paragraph" w:styleId="969">
    <w:name w:val="Subtitle"/>
    <w:basedOn w:val="725"/>
    <w:link w:val="970"/>
    <w:uiPriority w:val="99"/>
    <w:qFormat/>
    <w:pPr>
      <w:ind w:firstLine="720"/>
      <w:jc w:val="right"/>
    </w:pPr>
  </w:style>
  <w:style w:type="character" w:styleId="970" w:customStyle="1">
    <w:name w:val="Подзаголовок Знак"/>
    <w:basedOn w:val="735"/>
    <w:link w:val="969"/>
    <w:uiPriority w:val="99"/>
    <w:rPr>
      <w:rFonts w:ascii="Cambria" w:hAnsi="Cambria" w:cs="Times New Roman"/>
      <w:sz w:val="24"/>
    </w:rPr>
  </w:style>
  <w:style w:type="paragraph" w:styleId="971" w:customStyle="1">
    <w:name w:val="заголовок 6"/>
    <w:basedOn w:val="725"/>
    <w:next w:val="725"/>
    <w:uiPriority w:val="99"/>
    <w:pPr>
      <w:jc w:val="center"/>
      <w:keepNext/>
      <w:outlineLvl w:val="5"/>
    </w:pPr>
  </w:style>
  <w:style w:type="character" w:styleId="972" w:customStyle="1">
    <w:name w:val="Гиперссылка1"/>
    <w:uiPriority w:val="99"/>
    <w:rPr>
      <w:color w:val="0000ff"/>
      <w:u w:val="none"/>
    </w:rPr>
  </w:style>
  <w:style w:type="paragraph" w:styleId="973">
    <w:name w:val="envelope return"/>
    <w:basedOn w:val="725"/>
    <w:uiPriority w:val="99"/>
    <w:pPr>
      <w:ind w:right="57"/>
      <w:jc w:val="both"/>
    </w:pPr>
    <w:rPr>
      <w:sz w:val="24"/>
      <w:szCs w:val="24"/>
    </w:rPr>
  </w:style>
  <w:style w:type="character" w:styleId="974" w:customStyle="1">
    <w:name w:val="text11"/>
    <w:uiPriority w:val="99"/>
    <w:rPr>
      <w:rFonts w:ascii="Arial" w:hAnsi="Arial"/>
      <w:color w:val="auto"/>
      <w:sz w:val="20"/>
    </w:rPr>
  </w:style>
  <w:style w:type="paragraph" w:styleId="975" w:customStyle="1">
    <w:name w:val="заголовок 5"/>
    <w:basedOn w:val="725"/>
    <w:next w:val="725"/>
    <w:uiPriority w:val="99"/>
    <w:pPr>
      <w:ind w:left="6480" w:firstLine="720"/>
      <w:keepNext/>
      <w:outlineLvl w:val="4"/>
    </w:pPr>
  </w:style>
  <w:style w:type="paragraph" w:styleId="976" w:customStyle="1">
    <w:name w:val="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7" w:customStyle="1">
    <w:name w:val="Знак Знак Знак Знак Знак Знак Знак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78" w:customStyle="1">
    <w:name w:val="Об"/>
    <w:uiPriority w:val="99"/>
    <w:pPr>
      <w:widowControl w:val="off"/>
    </w:pPr>
  </w:style>
  <w:style w:type="paragraph" w:styleId="979" w:customStyle="1">
    <w:name w:val="Прикольный"/>
    <w:basedOn w:val="978"/>
    <w:uiPriority w:val="99"/>
  </w:style>
  <w:style w:type="paragraph" w:styleId="980" w:customStyle="1">
    <w:name w:val="Знак Знак Знак Знак1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1" w:customStyle="1">
    <w:name w:val="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2" w:customStyle="1">
    <w:name w:val="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3" w:customStyle="1">
    <w:name w:val="Знак Знак Знак Знак2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4" w:customStyle="1">
    <w:name w:val="Знак Знак Знак Знак1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5" w:customStyle="1">
    <w:name w:val="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6" w:customStyle="1">
    <w:name w:val="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7" w:customStyle="1">
    <w:name w:val="Знак Знак Знак Знак1 Знак Знак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8" w:customStyle="1">
    <w:name w:val="Знак Знак Знак1 Знак"/>
    <w:basedOn w:val="725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89" w:customStyle="1">
    <w:name w:val="????????"/>
    <w:basedOn w:val="725"/>
    <w:uiPriority w:val="99"/>
    <w:pPr>
      <w:jc w:val="center"/>
      <w:widowControl w:val="off"/>
    </w:pPr>
  </w:style>
  <w:style w:type="paragraph" w:styleId="99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1">
    <w:name w:val="line number"/>
    <w:basedOn w:val="735"/>
    <w:uiPriority w:val="99"/>
    <w:semiHidden/>
    <w:unhideWhenUsed/>
    <w:rPr>
      <w:rFonts w:cs="Times New Roman"/>
    </w:rPr>
  </w:style>
  <w:style w:type="paragraph" w:styleId="992">
    <w:name w:val="List Paragraph"/>
    <w:basedOn w:val="725"/>
    <w:uiPriority w:val="34"/>
    <w:qFormat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993" w:customStyle="1">
    <w:name w:val="Absatz-Standardschriftart"/>
  </w:style>
  <w:style w:type="character" w:styleId="994" w:customStyle="1">
    <w:name w:val="WW-Absatz-Standardschriftart"/>
  </w:style>
  <w:style w:type="character" w:styleId="995" w:customStyle="1">
    <w:name w:val="WW-Absatz-Standardschriftart1"/>
  </w:style>
  <w:style w:type="character" w:styleId="996" w:customStyle="1">
    <w:name w:val="Основной шрифт абзаца3"/>
  </w:style>
  <w:style w:type="character" w:styleId="997" w:customStyle="1">
    <w:name w:val="WW-Absatz-Standardschriftart11"/>
  </w:style>
  <w:style w:type="character" w:styleId="998" w:customStyle="1">
    <w:name w:val="WW-Absatz-Standardschriftart111"/>
  </w:style>
  <w:style w:type="character" w:styleId="999" w:customStyle="1">
    <w:name w:val="WW-Absatz-Standardschriftart1111"/>
  </w:style>
  <w:style w:type="character" w:styleId="1000" w:customStyle="1">
    <w:name w:val="WW-Absatz-Standardschriftart11111"/>
  </w:style>
  <w:style w:type="character" w:styleId="1001" w:customStyle="1">
    <w:name w:val="WW-Absatz-Standardschriftart111111"/>
  </w:style>
  <w:style w:type="character" w:styleId="1002" w:customStyle="1">
    <w:name w:val="WW-Absatz-Standardschriftart1111111"/>
  </w:style>
  <w:style w:type="character" w:styleId="1003" w:customStyle="1">
    <w:name w:val="WW-Absatz-Standardschriftart11111111"/>
  </w:style>
  <w:style w:type="character" w:styleId="1004" w:customStyle="1">
    <w:name w:val="WW-Absatz-Standardschriftart111111111"/>
  </w:style>
  <w:style w:type="character" w:styleId="1005" w:customStyle="1">
    <w:name w:val="WW-Absatz-Standardschriftart1111111111"/>
  </w:style>
  <w:style w:type="character" w:styleId="1006" w:customStyle="1">
    <w:name w:val="WW8Num2z0"/>
  </w:style>
  <w:style w:type="character" w:styleId="1007" w:customStyle="1">
    <w:name w:val="Основной шрифт абзаца2"/>
  </w:style>
  <w:style w:type="character" w:styleId="1008" w:customStyle="1">
    <w:name w:val="Символ нумерации"/>
  </w:style>
  <w:style w:type="character" w:styleId="1009" w:customStyle="1">
    <w:name w:val="Маркеры списка"/>
    <w:rPr>
      <w:rFonts w:ascii="OpenSymbol" w:hAnsi="OpenSymbol" w:eastAsia="OpenSymbol"/>
    </w:rPr>
  </w:style>
  <w:style w:type="paragraph" w:styleId="1010" w:customStyle="1">
    <w:name w:val="Заголовок1"/>
    <w:basedOn w:val="725"/>
    <w:next w:val="911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1011">
    <w:name w:val="List"/>
    <w:basedOn w:val="911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1012" w:customStyle="1">
    <w:name w:val="Название3"/>
    <w:basedOn w:val="725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13" w:customStyle="1">
    <w:name w:val="Указатель3"/>
    <w:basedOn w:val="725"/>
    <w:pPr>
      <w:suppressLineNumbers/>
    </w:pPr>
    <w:rPr>
      <w:rFonts w:ascii="Arial" w:hAnsi="Arial" w:cs="Tahoma"/>
      <w:lang w:eastAsia="ar-SA"/>
    </w:rPr>
  </w:style>
  <w:style w:type="paragraph" w:styleId="1014" w:customStyle="1">
    <w:name w:val="Название2"/>
    <w:basedOn w:val="725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15" w:customStyle="1">
    <w:name w:val="Указатель2"/>
    <w:basedOn w:val="725"/>
    <w:pPr>
      <w:suppressLineNumbers/>
    </w:pPr>
    <w:rPr>
      <w:rFonts w:ascii="Arial" w:hAnsi="Arial" w:cs="Tahoma"/>
      <w:lang w:eastAsia="ar-SA"/>
    </w:rPr>
  </w:style>
  <w:style w:type="paragraph" w:styleId="1016" w:customStyle="1">
    <w:name w:val="Название1"/>
    <w:basedOn w:val="725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1017" w:customStyle="1">
    <w:name w:val="Указатель1"/>
    <w:basedOn w:val="725"/>
    <w:pPr>
      <w:suppressLineNumbers/>
    </w:pPr>
    <w:rPr>
      <w:rFonts w:ascii="Arial" w:hAnsi="Arial" w:cs="Tahoma"/>
      <w:lang w:eastAsia="ar-SA"/>
    </w:rPr>
  </w:style>
  <w:style w:type="paragraph" w:styleId="1018" w:customStyle="1">
    <w:name w:val="Абзац списка1"/>
    <w:basedOn w:val="725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19" w:customStyle="1">
    <w:name w:val="Абзац списка2"/>
    <w:basedOn w:val="725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020" w:customStyle="1">
    <w:name w:val="msonormalcxspmiddle"/>
    <w:basedOn w:val="725"/>
    <w:pPr>
      <w:spacing w:before="280" w:after="280"/>
    </w:pPr>
    <w:rPr>
      <w:sz w:val="24"/>
      <w:szCs w:val="24"/>
      <w:lang w:eastAsia="ar-SA"/>
    </w:rPr>
  </w:style>
  <w:style w:type="paragraph" w:styleId="1021" w:customStyle="1">
    <w:name w:val="msonormalcxsplast"/>
    <w:basedOn w:val="725"/>
    <w:pPr>
      <w:spacing w:before="280" w:after="280"/>
    </w:pPr>
    <w:rPr>
      <w:sz w:val="24"/>
      <w:szCs w:val="24"/>
      <w:lang w:eastAsia="ar-SA"/>
    </w:rPr>
  </w:style>
  <w:style w:type="paragraph" w:styleId="1022" w:customStyle="1">
    <w:name w:val="consplusnormalcxspmiddle"/>
    <w:basedOn w:val="725"/>
    <w:pPr>
      <w:spacing w:before="280" w:after="280"/>
    </w:pPr>
    <w:rPr>
      <w:sz w:val="24"/>
      <w:szCs w:val="24"/>
      <w:lang w:eastAsia="ar-SA"/>
    </w:rPr>
  </w:style>
  <w:style w:type="paragraph" w:styleId="1023" w:customStyle="1">
    <w:name w:val="Содержимое таблицы"/>
    <w:basedOn w:val="725"/>
    <w:pPr>
      <w:suppressLineNumbers/>
    </w:pPr>
    <w:rPr>
      <w:lang w:eastAsia="ar-SA"/>
    </w:rPr>
  </w:style>
  <w:style w:type="paragraph" w:styleId="1024" w:customStyle="1">
    <w:name w:val="Заголовок таблицы"/>
    <w:basedOn w:val="1023"/>
    <w:pPr>
      <w:jc w:val="center"/>
    </w:pPr>
    <w:rPr>
      <w:b/>
      <w:bCs/>
    </w:rPr>
  </w:style>
  <w:style w:type="paragraph" w:styleId="1025" w:customStyle="1">
    <w:name w:val="Содержимое врезки"/>
    <w:basedOn w:val="911"/>
    <w:pPr>
      <w:jc w:val="left"/>
      <w:spacing w:after="120"/>
    </w:pPr>
    <w:rPr>
      <w:lang w:eastAsia="ar-SA"/>
    </w:rPr>
  </w:style>
  <w:style w:type="character" w:styleId="1026">
    <w:name w:val="Placeholder Text"/>
    <w:basedOn w:val="735"/>
    <w:uiPriority w:val="99"/>
    <w:semiHidden/>
    <w:rPr>
      <w:color w:val="808080"/>
    </w:rPr>
  </w:style>
  <w:style w:type="character" w:styleId="1027" w:customStyle="1">
    <w:name w:val="Основной шрифт"/>
    <w:uiPriority w:val="99"/>
  </w:style>
  <w:style w:type="character" w:styleId="1028" w:customStyle="1">
    <w:name w:val="номер страницы"/>
    <w:uiPriority w:val="99"/>
    <w:rPr>
      <w:rFonts w:cs="Times New Roman"/>
    </w:rPr>
  </w:style>
  <w:style w:type="table" w:styleId="1029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30" w:customStyle="1">
    <w:name w:val="Основной текст (5)_"/>
    <w:link w:val="1031"/>
    <w:rPr>
      <w:sz w:val="26"/>
      <w:shd w:val="clear" w:color="auto" w:fill="ffffff"/>
    </w:rPr>
  </w:style>
  <w:style w:type="paragraph" w:styleId="1031" w:customStyle="1">
    <w:name w:val="Основной текст (5)"/>
    <w:basedOn w:val="725"/>
    <w:link w:val="1030"/>
    <w:pPr>
      <w:spacing w:before="420" w:after="300" w:line="240" w:lineRule="atLeast"/>
      <w:shd w:val="clear" w:color="auto" w:fill="ffffff"/>
    </w:pPr>
    <w:rPr>
      <w:sz w:val="26"/>
      <w:szCs w:val="20"/>
    </w:rPr>
  </w:style>
  <w:style w:type="character" w:styleId="1032" w:customStyle="1">
    <w:name w:val="Заголовок №2_"/>
    <w:link w:val="1033"/>
    <w:rPr>
      <w:b/>
      <w:bCs/>
      <w:spacing w:val="-1"/>
      <w:sz w:val="25"/>
      <w:szCs w:val="25"/>
      <w:shd w:val="clear" w:color="auto" w:fill="ffffff"/>
    </w:rPr>
  </w:style>
  <w:style w:type="paragraph" w:styleId="1033" w:customStyle="1">
    <w:name w:val="Заголовок №2"/>
    <w:basedOn w:val="725"/>
    <w:link w:val="1032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1034" w:customStyle="1">
    <w:name w:val="Основной текст_"/>
    <w:link w:val="1035"/>
    <w:rPr>
      <w:spacing w:val="-2"/>
      <w:sz w:val="25"/>
      <w:szCs w:val="25"/>
      <w:shd w:val="clear" w:color="auto" w:fill="ffffff"/>
    </w:rPr>
  </w:style>
  <w:style w:type="paragraph" w:styleId="1035" w:customStyle="1">
    <w:name w:val="Основной текст1"/>
    <w:basedOn w:val="725"/>
    <w:link w:val="1034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1036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styleId="1037" w:customStyle="1">
    <w:name w:val="Font Style15"/>
    <w:rPr>
      <w:rFonts w:ascii="Times New Roman" w:hAnsi="Times New Roman"/>
      <w:color w:val="000000"/>
      <w:sz w:val="24"/>
    </w:rPr>
  </w:style>
  <w:style w:type="character" w:styleId="1038" w:customStyle="1">
    <w:name w:val="ConsPlusNormal Знак"/>
    <w:link w:val="931"/>
    <w:uiPriority w:val="99"/>
    <w:rPr>
      <w:rFonts w:ascii="Arial" w:hAnsi="Arial" w:cs="Arial"/>
    </w:rPr>
  </w:style>
  <w:style w:type="character" w:styleId="1039" w:customStyle="1">
    <w:name w:val="Без интервала Знак"/>
    <w:link w:val="961"/>
    <w:uiPriority w:val="1"/>
    <w:rPr>
      <w:rFonts w:ascii="Arial" w:hAnsi="Arial" w:cs="Arial"/>
    </w:rPr>
  </w:style>
  <w:style w:type="character" w:styleId="1040" w:customStyle="1">
    <w:name w:val="Текст сноски Знак1"/>
    <w:basedOn w:val="735"/>
    <w:uiPriority w:val="99"/>
    <w:semiHidden/>
  </w:style>
  <w:style w:type="character" w:styleId="1041" w:customStyle="1">
    <w:name w:val="Основной текст (4)"/>
    <w:link w:val="1042"/>
    <w:uiPriority w:val="99"/>
    <w:rPr>
      <w:b/>
      <w:sz w:val="18"/>
      <w:shd w:val="clear" w:color="auto" w:fill="ffffff"/>
    </w:rPr>
  </w:style>
  <w:style w:type="paragraph" w:styleId="1042" w:customStyle="1">
    <w:name w:val="Основной текст (4)1"/>
    <w:basedOn w:val="725"/>
    <w:link w:val="1041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0"/>
    </w:rPr>
  </w:style>
  <w:style w:type="character" w:styleId="1043" w:customStyle="1">
    <w:name w:val="Основной текст (3)"/>
    <w:link w:val="1044"/>
    <w:uiPriority w:val="99"/>
    <w:rPr>
      <w:sz w:val="28"/>
      <w:shd w:val="clear" w:color="auto" w:fill="ffffff"/>
    </w:rPr>
  </w:style>
  <w:style w:type="paragraph" w:styleId="1044" w:customStyle="1">
    <w:name w:val="Основной текст (3)1"/>
    <w:basedOn w:val="725"/>
    <w:link w:val="1043"/>
    <w:uiPriority w:val="99"/>
    <w:pPr>
      <w:jc w:val="center"/>
      <w:spacing w:before="300" w:after="240" w:line="240" w:lineRule="atLeast"/>
      <w:shd w:val="clear" w:color="auto" w:fill="ffffff"/>
    </w:pPr>
    <w:rPr>
      <w:szCs w:val="20"/>
    </w:rPr>
  </w:style>
  <w:style w:type="paragraph" w:styleId="1045" w:customStyle="1">
    <w:name w:val="Текст (лев. подпись)"/>
    <w:basedOn w:val="725"/>
    <w:next w:val="725"/>
    <w:uiPriority w:val="99"/>
    <w:pPr>
      <w:widowControl w:val="off"/>
    </w:pPr>
    <w:rPr>
      <w:rFonts w:ascii="Arial" w:hAnsi="Arial"/>
      <w:sz w:val="20"/>
      <w:szCs w:val="20"/>
    </w:rPr>
  </w:style>
  <w:style w:type="paragraph" w:styleId="1046" w:customStyle="1">
    <w:name w:val="Текст (прав. подпись)"/>
    <w:basedOn w:val="725"/>
    <w:next w:val="725"/>
    <w:uiPriority w:val="99"/>
    <w:pPr>
      <w:jc w:val="right"/>
      <w:widowControl w:val="off"/>
    </w:pPr>
    <w:rPr>
      <w:rFonts w:ascii="Arial" w:hAnsi="Arial"/>
      <w:sz w:val="20"/>
      <w:szCs w:val="20"/>
    </w:rPr>
  </w:style>
  <w:style w:type="character" w:styleId="1047" w:customStyle="1">
    <w:name w:val="Font Style12"/>
    <w:rPr>
      <w:rFonts w:ascii="Times New Roman" w:hAnsi="Times New Roman"/>
      <w:sz w:val="18"/>
    </w:rPr>
  </w:style>
  <w:style w:type="character" w:styleId="1048" w:customStyle="1">
    <w:name w:val="Body text (8)_"/>
    <w:link w:val="1049"/>
    <w:rPr>
      <w:b/>
      <w:sz w:val="26"/>
      <w:shd w:val="clear" w:color="auto" w:fill="ffffff"/>
    </w:rPr>
  </w:style>
  <w:style w:type="paragraph" w:styleId="1049" w:customStyle="1">
    <w:name w:val="Body text (8)"/>
    <w:basedOn w:val="725"/>
    <w:link w:val="1048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  <w:szCs w:val="20"/>
    </w:rPr>
  </w:style>
  <w:style w:type="paragraph" w:styleId="1050" w:customStyle="1">
    <w:name w:val="обычный"/>
    <w:basedOn w:val="725"/>
    <w:uiPriority w:val="99"/>
    <w:rPr>
      <w:rFonts w:ascii="Calibri" w:hAnsi="Calibri" w:cs="Calibri"/>
      <w:color w:val="000000"/>
      <w:sz w:val="20"/>
      <w:szCs w:val="20"/>
    </w:rPr>
  </w:style>
  <w:style w:type="paragraph" w:styleId="1051" w:customStyle="1">
    <w:name w:val="Верхний колонтитул1"/>
    <w:basedOn w:val="725"/>
    <w:pPr>
      <w:tabs>
        <w:tab w:val="center" w:pos="4153" w:leader="none"/>
        <w:tab w:val="right" w:pos="8306" w:leader="none"/>
      </w:tabs>
    </w:pPr>
    <w:rPr>
      <w:szCs w:val="20"/>
    </w:rPr>
  </w:style>
  <w:style w:type="character" w:styleId="1052" w:customStyle="1">
    <w:name w:val="Текст примечания Знак"/>
    <w:link w:val="1053"/>
    <w:uiPriority w:val="99"/>
    <w:semiHidden/>
    <w:rPr>
      <w:rFonts w:ascii="Calibri" w:hAnsi="Calibri" w:eastAsia="Calibri"/>
      <w:lang w:eastAsia="en-US"/>
    </w:rPr>
  </w:style>
  <w:style w:type="paragraph" w:styleId="1053">
    <w:name w:val="annotation text"/>
    <w:basedOn w:val="725"/>
    <w:link w:val="1052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1054" w:customStyle="1">
    <w:name w:val="Текст примечания Знак1"/>
    <w:basedOn w:val="735"/>
    <w:uiPriority w:val="99"/>
    <w:semiHidden/>
  </w:style>
  <w:style w:type="character" w:styleId="1055" w:customStyle="1">
    <w:name w:val="Тема примечания Знак"/>
    <w:link w:val="1056"/>
    <w:uiPriority w:val="99"/>
    <w:semiHidden/>
    <w:rPr>
      <w:rFonts w:ascii="Calibri" w:hAnsi="Calibri" w:eastAsia="Calibri"/>
      <w:b/>
      <w:bCs/>
      <w:lang w:eastAsia="en-US"/>
    </w:rPr>
  </w:style>
  <w:style w:type="paragraph" w:styleId="1056">
    <w:name w:val="annotation subject"/>
    <w:basedOn w:val="1053"/>
    <w:next w:val="1053"/>
    <w:link w:val="1055"/>
    <w:uiPriority w:val="99"/>
    <w:semiHidden/>
    <w:unhideWhenUsed/>
    <w:rPr>
      <w:b/>
      <w:bCs/>
    </w:rPr>
  </w:style>
  <w:style w:type="character" w:styleId="1057" w:customStyle="1">
    <w:name w:val="Тема примечания Знак1"/>
    <w:basedOn w:val="1054"/>
    <w:uiPriority w:val="99"/>
    <w:semiHidden/>
    <w:rPr>
      <w:b/>
      <w:bCs/>
    </w:rPr>
  </w:style>
  <w:style w:type="paragraph" w:styleId="1058" w:customStyle="1">
    <w:name w:val="Основной текст2"/>
    <w:basedOn w:val="725"/>
    <w:pPr>
      <w:ind w:hanging="1580"/>
      <w:jc w:val="center"/>
      <w:spacing w:before="360" w:after="360" w:line="0" w:lineRule="atLeast"/>
      <w:shd w:val="clear" w:color="auto" w:fill="ffffff"/>
      <w:widowControl w:val="off"/>
    </w:pPr>
  </w:style>
  <w:style w:type="paragraph" w:styleId="1059" w:customStyle="1">
    <w:name w:val="Standard"/>
    <w:rPr>
      <w:rFonts w:eastAsia="SimSun"/>
      <w:sz w:val="24"/>
      <w:szCs w:val="24"/>
      <w:lang w:bidi="hi-IN"/>
    </w:rPr>
  </w:style>
  <w:style w:type="table" w:styleId="1060" w:customStyle="1">
    <w:name w:val="Сетка таблицы2"/>
    <w:basedOn w:val="736"/>
    <w:next w:val="95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1">
    <w:name w:val="annotation reference"/>
    <w:uiPriority w:val="99"/>
    <w:semiHidden/>
    <w:unhideWhenUsed/>
    <w:rPr>
      <w:sz w:val="16"/>
      <w:szCs w:val="16"/>
    </w:rPr>
  </w:style>
  <w:style w:type="paragraph" w:styleId="1062">
    <w:name w:val="Revision"/>
    <w:hidden/>
    <w:uiPriority w:val="99"/>
    <w:semiHidden/>
  </w:style>
  <w:style w:type="paragraph" w:styleId="1063" w:customStyle="1">
    <w:name w:val="consplusnormal"/>
    <w:basedOn w:val="725"/>
    <w:pPr>
      <w:ind w:firstLine="720"/>
    </w:pPr>
    <w:rPr>
      <w:rFonts w:ascii="Arial" w:hAnsi="Arial" w:eastAsia="Arial Unicode MS" w:cs="Arial"/>
      <w:sz w:val="20"/>
      <w:szCs w:val="20"/>
    </w:rPr>
  </w:style>
  <w:style w:type="paragraph" w:styleId="1064" w:customStyle="1">
    <w:name w:val="consplustitle"/>
    <w:basedOn w:val="725"/>
    <w:rPr>
      <w:rFonts w:ascii="Arial" w:hAnsi="Arial" w:eastAsia="Arial Unicode MS" w:cs="Arial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338DDA-7EBD-4A8F-BADF-B6185CB6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revision>45</cp:revision>
  <dcterms:created xsi:type="dcterms:W3CDTF">2023-04-17T03:03:00Z</dcterms:created>
  <dcterms:modified xsi:type="dcterms:W3CDTF">2024-02-02T08:01:05Z</dcterms:modified>
</cp:coreProperties>
</file>