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797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постановления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Правительства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6663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внесении изменений в постановление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Правительства Новосибирской области от 01.08.2017 № 296-п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п о с т а н о в л я е т: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в </w:t>
      </w:r>
      <w:hyperlink r:id="rId12" w:tooltip="consultantplus://offline/ref=3563429628022DCE612ECDC179EE96E27E296DAF5E3F9730AD282A1DEC637284C8D40453BE7FDD39C7B75787C160F87DB3E3FCF" w:history="1">
        <w:r>
          <w:rPr>
            <w:rStyle w:val="870"/>
            <w:rFonts w:ascii="Times New Roman" w:hAnsi="Times New Roman"/>
            <w:color w:val="000000"/>
            <w:sz w:val="28"/>
            <w:szCs w:val="28"/>
            <w:highlight w:val="white"/>
            <w:u w:val="none"/>
            <w:lang w:eastAsia="ru-RU"/>
          </w:rPr>
          <w:t xml:space="preserve">постановление</w:t>
        </w:r>
      </w:hyperlink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Правительства Новосибирской области от 01.08.2017 № 296-п «Об утверждении Положения о министерстве труда и социального развития Новосибирской области» следующие изменения: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Положении о министерстве труда и социал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ьного развития Новосибирской области: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пункте 8: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 в подпункте 5 слова «содействия в поиске» заменить словом «поиска»;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/>
          <w:sz w:val="28"/>
          <w:szCs w:val="28"/>
          <w:highlight w:val="white"/>
        </w:rPr>
        <w:t xml:space="preserve">дополнить подпунктом 5.1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«5.1) </w:t>
      </w:r>
      <w:r>
        <w:rPr>
          <w:rFonts w:ascii="Times New Roman" w:hAnsi="Times New Roman"/>
          <w:sz w:val="28"/>
          <w:szCs w:val="28"/>
          <w:highlight w:val="white"/>
        </w:rPr>
        <w:t xml:space="preserve">определение порядка резервирования отдельных видов работ (профессий) для трудоустройства граждан, особо нуждающихся в социальной защите в соответствии с нормативными правовыми актами Новосибирской области, или определение числа рабочих мест для трудоустрой</w:t>
      </w:r>
      <w:r>
        <w:rPr>
          <w:rFonts w:ascii="Times New Roman" w:hAnsi="Times New Roman"/>
          <w:sz w:val="28"/>
          <w:szCs w:val="28"/>
          <w:highlight w:val="white"/>
        </w:rPr>
        <w:t xml:space="preserve">ства таких граждан;</w:t>
      </w:r>
      <w:r>
        <w:rPr>
          <w:rFonts w:ascii="Times New Roman" w:hAnsi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 подпункт 29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«29) проведение мониторинга рынка труда в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асти;»;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 дополнить подпунктом 29.1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«29.1) разработка прогноза баланса трудовых ресурсов </w:t>
      </w: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</w:t>
      </w:r>
      <w:r>
        <w:rPr>
          <w:rFonts w:ascii="Times New Roman" w:hAnsi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асти;</w:t>
      </w:r>
      <w:r>
        <w:rPr>
          <w:rFonts w:ascii="Times New Roman" w:hAnsi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5) 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подпункте 32 слова «обстоятельств и»</w:t>
      </w:r>
      <w:r>
        <w:rPr>
          <w:rFonts w:ascii="Times New Roman" w:hAnsi="Times New Roman"/>
          <w:sz w:val="28"/>
          <w:szCs w:val="28"/>
          <w:highlight w:val="white"/>
        </w:rPr>
        <w:t xml:space="preserve">, «в Новосибирской области» исключить;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6) подпункт 33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«33) обобщение практики применения законодательства о занятости </w:t>
      </w:r>
      <w:r>
        <w:rPr>
          <w:rFonts w:ascii="Times New Roman" w:hAnsi="Times New Roman"/>
          <w:sz w:val="28"/>
          <w:szCs w:val="28"/>
          <w:highlight w:val="white"/>
        </w:rPr>
        <w:t xml:space="preserve">населения в Новосибирской области и подготовка предложений по его совершенствованию;»;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7) в подпункте 35: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</w:rPr>
        <w:t xml:space="preserve">) в абзаце «б» слова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«по вопросам оплаты труда и снижения нелегальной трудовой занятости работников организаций» заменить словами «по противодействи</w:t>
      </w:r>
      <w:r>
        <w:rPr>
          <w:rFonts w:ascii="Times New Roman" w:hAnsi="Times New Roman"/>
          <w:sz w:val="28"/>
          <w:szCs w:val="28"/>
          <w:highlight w:val="white"/>
        </w:rPr>
        <w:t xml:space="preserve">ю формированию просроченной задолженности по заработной плате в хозяйствующих субъектах»;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/>
          <w:sz w:val="28"/>
          <w:szCs w:val="28"/>
          <w:highlight w:val="white"/>
        </w:rPr>
        <w:t xml:space="preserve">) абзац «г» признать утратившим силу;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 дополнить абзацами «з»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«к»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следующего содержания: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 межведомственной комиссии по вопросам профессиональной ориентации гра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ждан;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 межведомственной комиссии по поддержке участников специальной военной операции и членов их семей;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 межведомственной комиссии Новосибирской области по противодействию нелегальной занятости;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8) в подпункте 41 слова «в области содействия» заменить словами «в сфере»;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9) абзац четвертый подпункта 47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признать утратившим силу;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10) дополнить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подпунктами 131, 132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«131) координация исполнения мероприятий в сфере пробации, а также реализация в рамках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постпенитенциарной</w:t>
      </w:r>
      <w:r>
        <w:rPr>
          <w:rFonts w:ascii="Times New Roman" w:hAnsi="Times New Roman"/>
          <w:sz w:val="28"/>
          <w:szCs w:val="28"/>
          <w:highlight w:val="white"/>
        </w:rPr>
        <w:t xml:space="preserve"> пробации мероприятий в сфере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содействия занятости лиц, в отношении которых применяется пробация, и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предост</w:t>
      </w:r>
      <w:r>
        <w:rPr>
          <w:rFonts w:ascii="Times New Roman" w:hAnsi="Times New Roman"/>
          <w:sz w:val="28"/>
          <w:szCs w:val="28"/>
          <w:highlight w:val="white"/>
        </w:rPr>
        <w:t xml:space="preserve">авление им социальных услуг в соответствии с законодательством о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социальном обслуживании;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/>
          <w:color w:val="943634" w:themeColor="accent2" w:themeShade="BF"/>
          <w:sz w:val="20"/>
          <w:szCs w:val="20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132) обеспечение выполнения квоты в государственных и муниципальных организациях отдыха детей и их оздоровления для детей-инвалидов и детей с ограниченными возможност</w:t>
      </w:r>
      <w:r>
        <w:rPr>
          <w:rFonts w:ascii="Times New Roman" w:hAnsi="Times New Roman"/>
          <w:sz w:val="28"/>
          <w:szCs w:val="28"/>
          <w:highlight w:val="white"/>
        </w:rPr>
        <w:t xml:space="preserve">ями здоровья в порядке, установленном Правительством Новосибирской области.</w:t>
      </w:r>
      <w:r>
        <w:rPr>
          <w:rFonts w:ascii="Times New Roman" w:hAnsi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/>
          <w:color w:val="943634" w:themeColor="accent2" w:themeShade="BF"/>
          <w:sz w:val="20"/>
          <w:szCs w:val="20"/>
          <w:highlight w:val="white"/>
        </w:rPr>
      </w:r>
      <w:r>
        <w:rPr>
          <w:rFonts w:ascii="Times New Roman" w:hAnsi="Times New Roman"/>
          <w:color w:val="943634" w:themeColor="accent2" w:themeShade="BF"/>
          <w:sz w:val="20"/>
          <w:szCs w:val="20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2. Пункт 9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«9. Министерство осуществляет полномочие Российской Федерации, переданное для осуществления органам государственной власти субъектов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Рос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сийской Федерации, по осуществлению социальных выплат безработным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гражданам и иным категориям граждан в виде: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1) пособия по безработице;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2) пенсии, назначаемой безработному гражданину по предложению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государственного учреждения службы занятости на период до наступления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возраста, дающего право на страховую пенсию по старости, в том числе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назначаемую досрочно;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3) ежемесячной доплаты детям-сиротам, детям, оставшимся без попечения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родителей, лицам из числа детей-сирот и детей, оставшихся без попечения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родителей.».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3. </w:t>
      </w:r>
      <w:r>
        <w:rPr>
          <w:rFonts w:ascii="Times New Roman" w:hAnsi="Times New Roman"/>
          <w:sz w:val="28"/>
          <w:szCs w:val="28"/>
          <w:highlight w:val="white"/>
        </w:rPr>
        <w:t xml:space="preserve">В пункте 10: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 подпункт 29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«29) по предоставлению многодетным семьям ежегодной денежной выплаты на приобретение школьно-письменных прина</w:t>
      </w:r>
      <w:r>
        <w:rPr>
          <w:rFonts w:ascii="Times New Roman" w:hAnsi="Times New Roman"/>
          <w:sz w:val="28"/>
          <w:szCs w:val="28"/>
          <w:highlight w:val="white"/>
        </w:rPr>
        <w:t xml:space="preserve">длежностей, одежды для посещения учебных занятий и спортивной формы детям, обучающимся в общеобразовательных организациях, на весь период обучения;»;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подпункт 50 после слов «военной службы» дополнить словами «, службы в войсках национальной гвардии Росс</w:t>
      </w:r>
      <w:r>
        <w:rPr>
          <w:rFonts w:ascii="Times New Roman" w:hAnsi="Times New Roman"/>
          <w:sz w:val="28"/>
          <w:szCs w:val="28"/>
          <w:highlight w:val="white"/>
        </w:rPr>
        <w:t xml:space="preserve">ийской Федерации»;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 </w:t>
      </w:r>
      <w:r>
        <w:rPr>
          <w:rFonts w:ascii="Times New Roman" w:hAnsi="Times New Roman"/>
          <w:sz w:val="28"/>
          <w:szCs w:val="28"/>
          <w:highlight w:val="white"/>
        </w:rPr>
        <w:t xml:space="preserve">подпункт 60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center" w:pos="4536" w:leader="none"/>
          <w:tab w:val="left" w:pos="7680" w:leader="none"/>
          <w:tab w:val="right" w:pos="9072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«60) по ежегодной денежной выплате лицам, награжденным нагрудным знаком «Почетный донор России», «Почетный донор СССР», имеющим статус </w:t>
      </w:r>
      <w:r>
        <w:rPr>
          <w:rFonts w:ascii="Times New Roman" w:hAnsi="Times New Roman"/>
          <w:sz w:val="28"/>
          <w:szCs w:val="28"/>
          <w:highlight w:val="white"/>
        </w:rPr>
        <w:t xml:space="preserve">Почетный донор Украины, Почетный донор Донецкой Народной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Республики, Почетный донор Луганской Народной Республики;».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Пункт 11 дополнить подпунктом 13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«13) по предоставлению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выплаты на приобретение благоустроенного жилого помещения в собственность или для полного погашения предоставленн</w:t>
      </w:r>
      <w:r>
        <w:rPr>
          <w:rFonts w:ascii="Times New Roman" w:hAnsi="Times New Roman"/>
          <w:sz w:val="28"/>
          <w:szCs w:val="28"/>
          <w:highlight w:val="white"/>
        </w:rPr>
        <w:t xml:space="preserve">ого на приобретение жилого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помещения кредита (займа) по договору, обязательства заемщика по которому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обеспечены ипотекой.».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 В подпункте 31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пункта 15 слова «по противодействию терроризму» заменить словами «, в том числе по противодействию идеологии терро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ризма».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 В подпункте 9 пункта 19 слова «смету расходов на его содержание в пределах утвержденных на соответствующий период ассигнований, предусмотренных в областном бюджете Новосибирской области» заменить словами «бюджетную смету на его содержание в пред</w:t>
      </w:r>
      <w:r>
        <w:rPr>
          <w:rFonts w:ascii="Times New Roman" w:hAnsi="Times New Roman"/>
          <w:sz w:val="28"/>
          <w:szCs w:val="28"/>
          <w:highlight w:val="white"/>
        </w:rPr>
        <w:t xml:space="preserve">елах доведенных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лимитов бюджетных обязательств на очередной финансовый год и плановый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период».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Е.В. </w:t>
      </w: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Бахарева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238 75 10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СОГЛАСОВАНО: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Первый заместитель Губернатора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Ю.Ф. Петухов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Министр юстиции Новосибирской области                                               Т.Н. </w:t>
      </w:r>
      <w:r>
        <w:rPr>
          <w:rFonts w:ascii="Times New Roman" w:hAnsi="Times New Roman"/>
          <w:sz w:val="28"/>
          <w:szCs w:val="28"/>
          <w:highlight w:val="white"/>
        </w:rPr>
        <w:t xml:space="preserve">Деркач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Заместитель Губернатора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                                                                            С.А. Нелюбов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Министр труда и социального развития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    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Е.В.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Бахарева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tbl>
      <w:tblPr>
        <w:tblpPr w:horzAnchor="margin" w:tblpXSpec="left" w:vertAnchor="text" w:tblpY="-127" w:leftFromText="180" w:topFromText="0" w:rightFromText="180" w:bottomFromText="200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  <w:t xml:space="preserve">Первый заместитель руководителя администрации - руков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  <w:t xml:space="preserve">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  <w:t xml:space="preserve">В.А.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  <w:t xml:space="preserve">Дудникова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Начальник </w:t>
      </w:r>
      <w:r>
        <w:rPr>
          <w:rFonts w:ascii="Times New Roman" w:hAnsi="Times New Roman"/>
          <w:sz w:val="20"/>
          <w:szCs w:val="20"/>
          <w:highlight w:val="white"/>
        </w:rPr>
        <w:t xml:space="preserve">правового  управления</w:t>
      </w:r>
      <w:r>
        <w:rPr>
          <w:rFonts w:ascii="Times New Roman" w:hAnsi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министерства</w:t>
      </w:r>
      <w:r>
        <w:rPr>
          <w:rFonts w:ascii="Times New Roman" w:hAnsi="Times New Roman"/>
          <w:sz w:val="20"/>
          <w:szCs w:val="20"/>
          <w:highlight w:val="white"/>
        </w:rPr>
        <w:t xml:space="preserve"> труда и социального развития 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Новосибирской области                                                                                                                                    Е.В. </w:t>
      </w:r>
      <w:r>
        <w:rPr>
          <w:rFonts w:ascii="Times New Roman" w:hAnsi="Times New Roman"/>
          <w:sz w:val="20"/>
          <w:szCs w:val="20"/>
          <w:highlight w:val="white"/>
        </w:rPr>
        <w:t xml:space="preserve">Нарубина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color w:val="000000"/>
          <w:sz w:val="20"/>
          <w:highlight w:val="white"/>
        </w:rPr>
      </w:pPr>
      <w:r>
        <w:rPr>
          <w:rFonts w:ascii="Times New Roman" w:hAnsi="Times New Roman" w:eastAsia="Times New Roman"/>
          <w:color w:val="000000"/>
          <w:sz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3"/>
        <w:gridCol w:w="4888"/>
      </w:tblGrid>
      <w:tr>
        <w:trPr>
          <w:trHeight w:val="54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Начальника управления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spacing w:after="0" w:line="17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организации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 социальных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 выплат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textDirection w:val="lrTb"/>
            <w:noWrap w:val="false"/>
          </w:tcPr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Т.А. Мальцева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000000"/>
          <w:sz w:val="20"/>
          <w:highlight w:val="white"/>
        </w:rPr>
        <w:t xml:space="preserve"> </w:t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4"/>
        <w:gridCol w:w="4887"/>
      </w:tblGrid>
      <w:tr>
        <w:trPr>
          <w:trHeight w:val="5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vMerge w:val="restart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Начальник управления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spacing w:after="0" w:line="17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занятости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населения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vMerge w:val="restart"/>
            <w:textDirection w:val="lrTb"/>
            <w:noWrap w:val="false"/>
          </w:tcPr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О.И. Лаврова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color w:val="ffffff" w:themeColor="background1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ffffff" w:themeColor="background1"/>
          <w:sz w:val="20"/>
          <w:szCs w:val="20"/>
          <w:highlight w:val="white"/>
        </w:rPr>
        <w:t xml:space="preserve">а</w:t>
      </w:r>
      <w:r>
        <w:rPr>
          <w:rFonts w:ascii="Times New Roman" w:hAnsi="Times New Roman" w:eastAsia="Times New Roman"/>
          <w:color w:val="ffffff" w:themeColor="background1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ffffff" w:themeColor="background1"/>
          <w:sz w:val="20"/>
          <w:szCs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9"/>
        <w:gridCol w:w="4892"/>
      </w:tblGrid>
      <w:tr>
        <w:trPr>
          <w:trHeight w:val="41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vMerge w:val="restart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Начальник управления труда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vMerge w:val="restart"/>
            <w:textDirection w:val="lrTb"/>
            <w:noWrap w:val="false"/>
          </w:tcPr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И.И. Дмитриенко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4"/>
        <w:gridCol w:w="4887"/>
      </w:tblGrid>
      <w:tr>
        <w:trPr>
          <w:trHeight w:val="5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vMerge w:val="restart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ачальник управления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организации социального обслуживания населения и реабилитации инвалидов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vMerge w:val="restart"/>
            <w:textDirection w:val="lrTb"/>
            <w:noWrap w:val="false"/>
          </w:tcPr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none"/>
              </w:rPr>
              <w:t xml:space="preserve">Д.В. Журин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4889"/>
      </w:tblGrid>
      <w:tr>
        <w:trPr>
          <w:trHeight w:val="5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vMerge w:val="restart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Начальник управления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spacing w:after="0" w:line="17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семейной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политики и защиты прав детей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vMerge w:val="restart"/>
            <w:textDirection w:val="lrTb"/>
            <w:noWrap w:val="false"/>
          </w:tcPr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Н.Л. Кузьмина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8"/>
        <w:gridCol w:w="4883"/>
      </w:tblGrid>
      <w:tr>
        <w:trPr>
          <w:trHeight w:val="5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white"/>
              </w:rPr>
              <w:t xml:space="preserve">Заместитель начальника управления - начальник отдела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 экономического анализа и финансового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планирования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планово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  <w:t xml:space="preserve">-финансового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 управления </w:t>
            </w:r>
            <w:r>
              <w:rPr>
                <w:rFonts w:ascii="Times New Roman" w:hAnsi="Times New Roman"/>
                <w:i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i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vMerge w:val="restart"/>
            <w:textDirection w:val="lrTb"/>
            <w:noWrap w:val="false"/>
          </w:tcPr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line="17" w:lineRule="atLeast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  <w:t xml:space="preserve">А.В. Медведев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М.М. Иванникова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238 75 02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5" w:hanging="10"/>
      <w:spacing w:after="55" w:line="261" w:lineRule="auto"/>
      <w:rPr>
        <w:rFonts w:ascii="Times New Roman" w:hAnsi="Times New Roman" w:eastAsia="Times New Roman"/>
        <w:sz w:val="20"/>
      </w:rPr>
    </w:pPr>
    <w:r>
      <w:rPr>
        <w:rFonts w:ascii="Times New Roman" w:hAnsi="Times New Roman" w:eastAsia="Times New Roman"/>
        <w:sz w:val="20"/>
      </w:rPr>
    </w:r>
    <w:r>
      <w:rPr>
        <w:rFonts w:ascii="Times New Roman" w:hAnsi="Times New Roman" w:eastAsia="Times New Roman"/>
        <w:sz w:val="20"/>
      </w:rPr>
    </w:r>
    <w:r>
      <w:rPr>
        <w:rFonts w:ascii="Times New Roman" w:hAnsi="Times New Roman" w:eastAsia="Times New Roman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5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1">
    <w:name w:val="Heading 1"/>
    <w:basedOn w:val="690"/>
    <w:next w:val="690"/>
    <w:link w:val="71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2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2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2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2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2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2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2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2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0"/>
    <w:uiPriority w:val="10"/>
    <w:rPr>
      <w:sz w:val="48"/>
      <w:szCs w:val="48"/>
    </w:rPr>
  </w:style>
  <w:style w:type="character" w:styleId="713" w:customStyle="1">
    <w:name w:val="Subtitle Char"/>
    <w:basedOn w:val="700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Header Char"/>
    <w:basedOn w:val="700"/>
    <w:uiPriority w:val="99"/>
  </w:style>
  <w:style w:type="character" w:styleId="717" w:customStyle="1">
    <w:name w:val="Footnote Text Char"/>
    <w:uiPriority w:val="99"/>
    <w:rPr>
      <w:sz w:val="18"/>
    </w:rPr>
  </w:style>
  <w:style w:type="character" w:styleId="718" w:customStyle="1">
    <w:name w:val="Endnote Text Char"/>
    <w:uiPriority w:val="99"/>
    <w:rPr>
      <w:sz w:val="20"/>
    </w:rPr>
  </w:style>
  <w:style w:type="character" w:styleId="719" w:customStyle="1">
    <w:name w:val="Заголовок 1 Знак"/>
    <w:link w:val="691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690"/>
    <w:uiPriority w:val="34"/>
    <w:qFormat/>
    <w:pPr>
      <w:contextualSpacing/>
      <w:ind w:left="720"/>
    </w:pPr>
  </w:style>
  <w:style w:type="paragraph" w:styleId="729">
    <w:name w:val="No Spacing"/>
    <w:uiPriority w:val="1"/>
    <w:qFormat/>
  </w:style>
  <w:style w:type="paragraph" w:styleId="730">
    <w:name w:val="Title"/>
    <w:basedOn w:val="690"/>
    <w:next w:val="690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Название Знак"/>
    <w:link w:val="730"/>
    <w:uiPriority w:val="10"/>
    <w:rPr>
      <w:sz w:val="48"/>
      <w:szCs w:val="48"/>
    </w:rPr>
  </w:style>
  <w:style w:type="paragraph" w:styleId="732">
    <w:name w:val="Subtitle"/>
    <w:basedOn w:val="690"/>
    <w:next w:val="690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link w:val="732"/>
    <w:uiPriority w:val="11"/>
    <w:rPr>
      <w:sz w:val="24"/>
      <w:szCs w:val="24"/>
    </w:rPr>
  </w:style>
  <w:style w:type="paragraph" w:styleId="734">
    <w:name w:val="Quote"/>
    <w:basedOn w:val="690"/>
    <w:next w:val="690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90"/>
    <w:next w:val="690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>
    <w:name w:val="Header"/>
    <w:basedOn w:val="690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 w:customStyle="1">
    <w:name w:val="Верхний колонтитул Знак"/>
    <w:link w:val="738"/>
    <w:uiPriority w:val="99"/>
  </w:style>
  <w:style w:type="paragraph" w:styleId="740">
    <w:name w:val="Footer"/>
    <w:basedOn w:val="690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1" w:customStyle="1">
    <w:name w:val="Footer Char"/>
    <w:uiPriority w:val="99"/>
  </w:style>
  <w:style w:type="paragraph" w:styleId="742">
    <w:name w:val="Caption"/>
    <w:basedOn w:val="690"/>
    <w:next w:val="69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3" w:customStyle="1">
    <w:name w:val="Caption Char"/>
    <w:uiPriority w:val="99"/>
  </w:style>
  <w:style w:type="table" w:styleId="744">
    <w:name w:val="Table Grid"/>
    <w:basedOn w:val="701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563c1"/>
      <w:u w:val="single"/>
    </w:rPr>
  </w:style>
  <w:style w:type="paragraph" w:styleId="871">
    <w:name w:val="footnote text"/>
    <w:basedOn w:val="690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690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690"/>
    <w:next w:val="690"/>
    <w:uiPriority w:val="39"/>
    <w:unhideWhenUsed/>
    <w:pPr>
      <w:spacing w:after="57"/>
    </w:pPr>
  </w:style>
  <w:style w:type="paragraph" w:styleId="878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9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80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81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82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83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84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85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0"/>
    <w:next w:val="690"/>
    <w:uiPriority w:val="99"/>
    <w:unhideWhenUsed/>
    <w:pPr>
      <w:spacing w:after="0"/>
    </w:pPr>
  </w:style>
  <w:style w:type="paragraph" w:styleId="888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89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paragraph" w:styleId="890">
    <w:name w:val="Body Text"/>
    <w:basedOn w:val="690"/>
    <w:link w:val="891"/>
    <w:unhideWhenUsed/>
    <w:pPr>
      <w:spacing w:after="120"/>
    </w:pPr>
    <w:rPr>
      <w:rFonts w:eastAsia="Times New Roman"/>
    </w:rPr>
  </w:style>
  <w:style w:type="character" w:styleId="891" w:customStyle="1">
    <w:name w:val="Основной текст Знак"/>
    <w:link w:val="890"/>
    <w:rPr>
      <w:rFonts w:ascii="Calibri" w:hAnsi="Calibri" w:eastAsia="Times New Roman" w:cs="Times New Roman"/>
    </w:rPr>
  </w:style>
  <w:style w:type="paragraph" w:styleId="892" w:customStyle="1">
    <w:name w:val="Верхний колонтитул;ВерхКолонтитул"/>
    <w:basedOn w:val="690"/>
    <w:link w:val="893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93" w:customStyle="1">
    <w:name w:val="Верхний колонтитул Знак;ВерхКолонтитул Знак"/>
    <w:link w:val="89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4">
    <w:name w:val="Balloon Text"/>
    <w:basedOn w:val="690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link w:val="894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6" w:customStyle="1">
    <w:name w:val="Нижний колонтитул Знак"/>
    <w:link w:val="740"/>
    <w:uiPriority w:val="99"/>
    <w:rPr>
      <w:sz w:val="22"/>
      <w:szCs w:val="22"/>
      <w:lang w:eastAsia="en-US"/>
    </w:rPr>
  </w:style>
  <w:style w:type="character" w:styleId="897">
    <w:name w:val="annotation reference"/>
    <w:basedOn w:val="700"/>
    <w:uiPriority w:val="99"/>
    <w:semiHidden/>
    <w:unhideWhenUsed/>
    <w:rPr>
      <w:sz w:val="16"/>
      <w:szCs w:val="16"/>
    </w:rPr>
  </w:style>
  <w:style w:type="paragraph" w:styleId="898">
    <w:name w:val="annotation text"/>
    <w:basedOn w:val="690"/>
    <w:link w:val="89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9" w:customStyle="1">
    <w:name w:val="Текст примечания Знак"/>
    <w:basedOn w:val="700"/>
    <w:link w:val="898"/>
    <w:uiPriority w:val="99"/>
    <w:semiHidden/>
    <w:rPr>
      <w:lang w:eastAsia="en-US"/>
    </w:rPr>
  </w:style>
  <w:style w:type="paragraph" w:styleId="900">
    <w:name w:val="annotation subject"/>
    <w:basedOn w:val="898"/>
    <w:next w:val="898"/>
    <w:link w:val="901"/>
    <w:uiPriority w:val="99"/>
    <w:semiHidden/>
    <w:unhideWhenUsed/>
    <w:rPr>
      <w:b/>
      <w:bCs/>
    </w:rPr>
  </w:style>
  <w:style w:type="character" w:styleId="901" w:customStyle="1">
    <w:name w:val="Тема примечания Знак"/>
    <w:basedOn w:val="899"/>
    <w:link w:val="900"/>
    <w:uiPriority w:val="99"/>
    <w:semiHidden/>
    <w:rPr>
      <w:b/>
      <w:bCs/>
      <w:lang w:eastAsia="en-US"/>
    </w:rPr>
  </w:style>
  <w:style w:type="paragraph" w:styleId="902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Calibri"/>
      <w:b/>
      <w:sz w:val="22"/>
      <w:szCs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3563429628022DCE612ECDC179EE96E27E296DAF5E3F9730AD282A1DEC637284C8D40453BE7FDD39C7B75787C160F87DB3E3FC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5C5B-1A75-49F3-A3CC-62FD339C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57</cp:revision>
  <dcterms:created xsi:type="dcterms:W3CDTF">2023-11-08T07:07:00Z</dcterms:created>
  <dcterms:modified xsi:type="dcterms:W3CDTF">2024-08-22T08:51:10Z</dcterms:modified>
  <cp:version>917504</cp:version>
</cp:coreProperties>
</file>