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D1307A" w:rsidRDefault="0000209A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307A">
        <w:rPr>
          <w:rFonts w:ascii="Times New Roman" w:hAnsi="Times New Roman" w:cs="Times New Roman"/>
          <w:sz w:val="28"/>
          <w:szCs w:val="28"/>
        </w:rPr>
        <w:t>ПРИЛОЖЕНИЕ</w:t>
      </w:r>
      <w:r w:rsidR="00352115" w:rsidRPr="00D1307A">
        <w:rPr>
          <w:rFonts w:ascii="Times New Roman" w:hAnsi="Times New Roman" w:cs="Times New Roman"/>
          <w:sz w:val="28"/>
          <w:szCs w:val="28"/>
        </w:rPr>
        <w:t xml:space="preserve"> № </w:t>
      </w:r>
      <w:r w:rsidR="001F2D64" w:rsidRPr="00D1307A">
        <w:rPr>
          <w:rFonts w:ascii="Times New Roman" w:hAnsi="Times New Roman" w:cs="Times New Roman"/>
          <w:sz w:val="28"/>
          <w:szCs w:val="28"/>
        </w:rPr>
        <w:t>2</w:t>
      </w:r>
    </w:p>
    <w:p w:rsidR="00FF0B60" w:rsidRPr="00D1307A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307A">
        <w:rPr>
          <w:rFonts w:ascii="Times New Roman" w:hAnsi="Times New Roman" w:cs="Times New Roman"/>
          <w:sz w:val="28"/>
          <w:szCs w:val="28"/>
        </w:rPr>
        <w:t>к постановлени</w:t>
      </w:r>
      <w:r w:rsidR="009B4867" w:rsidRPr="00D1307A">
        <w:rPr>
          <w:rFonts w:ascii="Times New Roman" w:hAnsi="Times New Roman" w:cs="Times New Roman"/>
          <w:sz w:val="28"/>
          <w:szCs w:val="28"/>
        </w:rPr>
        <w:t>ю</w:t>
      </w:r>
      <w:r w:rsidR="00857BC4" w:rsidRPr="00D1307A">
        <w:rPr>
          <w:rFonts w:ascii="Times New Roman" w:hAnsi="Times New Roman" w:cs="Times New Roman"/>
          <w:sz w:val="28"/>
          <w:szCs w:val="28"/>
        </w:rPr>
        <w:t xml:space="preserve"> </w:t>
      </w:r>
      <w:r w:rsidRPr="00D1307A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 w:rsidRPr="00D1307A">
        <w:rPr>
          <w:rFonts w:ascii="Times New Roman" w:hAnsi="Times New Roman" w:cs="Times New Roman"/>
          <w:sz w:val="28"/>
          <w:szCs w:val="28"/>
        </w:rPr>
        <w:t xml:space="preserve"> </w:t>
      </w:r>
      <w:r w:rsidRPr="00D1307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D1307A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D1307A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307A">
        <w:rPr>
          <w:rFonts w:ascii="Times New Roman" w:hAnsi="Times New Roman" w:cs="Times New Roman"/>
          <w:sz w:val="28"/>
          <w:szCs w:val="28"/>
        </w:rPr>
        <w:t>«ПРИЛОЖЕНИЕ №</w:t>
      </w:r>
      <w:r w:rsidR="0000209A" w:rsidRPr="00D1307A">
        <w:rPr>
          <w:rFonts w:ascii="Times New Roman" w:hAnsi="Times New Roman" w:cs="Times New Roman"/>
          <w:sz w:val="28"/>
          <w:szCs w:val="28"/>
        </w:rPr>
        <w:t> </w:t>
      </w:r>
      <w:r w:rsidR="00352115" w:rsidRPr="00D1307A">
        <w:rPr>
          <w:rFonts w:ascii="Times New Roman" w:hAnsi="Times New Roman" w:cs="Times New Roman"/>
          <w:sz w:val="28"/>
          <w:szCs w:val="28"/>
        </w:rPr>
        <w:t>2</w:t>
      </w:r>
      <w:r w:rsidR="00D1307A" w:rsidRPr="00D1307A">
        <w:rPr>
          <w:rFonts w:ascii="Times New Roman" w:hAnsi="Times New Roman" w:cs="Times New Roman"/>
          <w:sz w:val="28"/>
          <w:szCs w:val="28"/>
        </w:rPr>
        <w:t>1</w:t>
      </w:r>
    </w:p>
    <w:p w:rsidR="00FF0B60" w:rsidRPr="00D1307A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307A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D1307A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1D50" w:rsidRPr="00D1307A" w:rsidRDefault="00AD1D50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04C" w:rsidRPr="00D1307A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7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66144" w:rsidRPr="00D1307A" w:rsidRDefault="008B604C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7A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D1307A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субсидий </w:t>
      </w:r>
      <w:r w:rsidRPr="00D1307A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D1307A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D1307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</w:p>
    <w:p w:rsidR="008B604C" w:rsidRPr="00D1307A" w:rsidRDefault="00D1307A" w:rsidP="00C661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7A">
        <w:rPr>
          <w:rFonts w:ascii="Times New Roman" w:hAnsi="Times New Roman" w:cs="Times New Roman"/>
          <w:b/>
          <w:sz w:val="28"/>
          <w:szCs w:val="28"/>
        </w:rPr>
        <w:t>по</w:t>
      </w:r>
      <w:r w:rsidRPr="00D1307A">
        <w:rPr>
          <w:rFonts w:ascii="Times New Roman" w:hAnsi="Times New Roman" w:cs="Times New Roman"/>
          <w:b/>
          <w:bCs/>
          <w:sz w:val="28"/>
          <w:szCs w:val="28"/>
        </w:rPr>
        <w:t xml:space="preserve"> созданию модельных муниципальных библиотек</w:t>
      </w:r>
    </w:p>
    <w:p w:rsidR="009D63E1" w:rsidRPr="00D1307A" w:rsidRDefault="009D63E1" w:rsidP="00E36C90">
      <w:pPr>
        <w:pStyle w:val="a3"/>
      </w:pPr>
    </w:p>
    <w:p w:rsidR="00C24468" w:rsidRPr="00D1307A" w:rsidRDefault="00D9558B" w:rsidP="00284535">
      <w:pPr>
        <w:pStyle w:val="a3"/>
        <w:jc w:val="center"/>
      </w:pPr>
      <w:r w:rsidRPr="00D1307A">
        <w:rPr>
          <w:lang w:val="en-US"/>
        </w:rPr>
        <w:t>I</w:t>
      </w:r>
      <w:r w:rsidRPr="00D1307A">
        <w:t>.</w:t>
      </w:r>
      <w:r w:rsidRPr="00D1307A">
        <w:rPr>
          <w:lang w:val="en-US"/>
        </w:rPr>
        <w:t> </w:t>
      </w:r>
      <w:r w:rsidR="008B604C" w:rsidRPr="00D1307A">
        <w:t>Общие положения</w:t>
      </w:r>
    </w:p>
    <w:p w:rsidR="00C24468" w:rsidRPr="00D1307A" w:rsidRDefault="00C24468" w:rsidP="00E36C90">
      <w:pPr>
        <w:pStyle w:val="a3"/>
      </w:pPr>
    </w:p>
    <w:p w:rsidR="00757164" w:rsidRPr="00603E25" w:rsidRDefault="00BB2524" w:rsidP="00E36C90">
      <w:pPr>
        <w:pStyle w:val="a3"/>
      </w:pPr>
      <w:r w:rsidRPr="00D1307A">
        <w:t>1</w:t>
      </w:r>
      <w:r w:rsidR="00757164" w:rsidRPr="00D1307A">
        <w:t>.</w:t>
      </w:r>
      <w:r w:rsidR="009C234A" w:rsidRPr="00D1307A">
        <w:t> </w:t>
      </w:r>
      <w:r w:rsidR="00757164" w:rsidRPr="00D1307A">
        <w:t xml:space="preserve">Настоящий порядок предоставления и </w:t>
      </w:r>
      <w:r w:rsidR="00B32C83" w:rsidRPr="00D1307A">
        <w:t>распределения</w:t>
      </w:r>
      <w:r w:rsidR="00757164" w:rsidRPr="00D1307A">
        <w:t xml:space="preserve"> </w:t>
      </w:r>
      <w:r w:rsidR="00BF0061" w:rsidRPr="00D1307A"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D1307A">
        <w:t xml:space="preserve">, </w:t>
      </w:r>
      <w:r w:rsidR="00260C9B" w:rsidRPr="00D1307A"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D1307A">
        <w:t xml:space="preserve">на реализацию мероприятий </w:t>
      </w:r>
      <w:r w:rsidR="00BF0061" w:rsidRPr="00D1307A">
        <w:t>государственной программы Новосибирской области</w:t>
      </w:r>
      <w:r w:rsidR="00BF0061" w:rsidRPr="00D1307A">
        <w:rPr>
          <w:b/>
        </w:rPr>
        <w:t xml:space="preserve"> </w:t>
      </w:r>
      <w:r w:rsidR="00BF0061" w:rsidRPr="00D1307A">
        <w:t xml:space="preserve">«Культура Новосибирской области» </w:t>
      </w:r>
      <w:r w:rsidR="001B4765" w:rsidRPr="00D1307A">
        <w:t xml:space="preserve">(далее – государственная программа) по </w:t>
      </w:r>
      <w:r w:rsidR="00D1307A" w:rsidRPr="00D1307A">
        <w:rPr>
          <w:bCs/>
        </w:rPr>
        <w:t>созданию модельных муниципальных библиотек</w:t>
      </w:r>
      <w:r w:rsidR="00204AC9" w:rsidRPr="00D1307A">
        <w:t xml:space="preserve"> </w:t>
      </w:r>
      <w:r w:rsidR="00757164" w:rsidRPr="00D1307A">
        <w:t xml:space="preserve">(далее </w:t>
      </w:r>
      <w:r w:rsidR="009C234A" w:rsidRPr="00D1307A">
        <w:t xml:space="preserve">соответственно </w:t>
      </w:r>
      <w:r w:rsidR="00757164" w:rsidRPr="00D1307A">
        <w:t xml:space="preserve">– </w:t>
      </w:r>
      <w:r w:rsidR="00304AE8" w:rsidRPr="00D1307A">
        <w:t>с</w:t>
      </w:r>
      <w:r w:rsidR="009C234A" w:rsidRPr="00D1307A">
        <w:t>убсиди</w:t>
      </w:r>
      <w:r w:rsidR="004A13EA" w:rsidRPr="00D1307A">
        <w:t>и</w:t>
      </w:r>
      <w:r w:rsidR="009C234A" w:rsidRPr="00D1307A">
        <w:t xml:space="preserve">, </w:t>
      </w:r>
      <w:r w:rsidR="00DB0A14" w:rsidRPr="00D1307A">
        <w:t>п</w:t>
      </w:r>
      <w:r w:rsidR="00757164" w:rsidRPr="00D1307A">
        <w:t>орядок)</w:t>
      </w:r>
      <w:r w:rsidR="00263A04" w:rsidRPr="00D1307A">
        <w:t>,</w:t>
      </w:r>
      <w:r w:rsidR="00757164" w:rsidRPr="00D1307A">
        <w:t xml:space="preserve"> </w:t>
      </w:r>
      <w:r w:rsidR="0051641C" w:rsidRPr="00D1307A">
        <w:t xml:space="preserve">в целях реализации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 </w:t>
      </w:r>
      <w:r w:rsidR="00B8336D" w:rsidRPr="00D1307A">
        <w:t xml:space="preserve">разработан в соответствии </w:t>
      </w:r>
      <w:r w:rsidR="001D4BE1" w:rsidRPr="00D1307A"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D1307A">
        <w:t xml:space="preserve"> </w:t>
      </w:r>
      <w:r w:rsidR="008B604C" w:rsidRPr="00D1307A">
        <w:t xml:space="preserve">(далее – Правила) </w:t>
      </w:r>
      <w:r w:rsidR="00522E46" w:rsidRPr="00D1307A">
        <w:t>и определяет процедуру</w:t>
      </w:r>
      <w:r w:rsidR="00757164" w:rsidRPr="00D1307A">
        <w:t xml:space="preserve"> предоставления и </w:t>
      </w:r>
      <w:r w:rsidR="009C234A" w:rsidRPr="00D1307A">
        <w:t>распределения</w:t>
      </w:r>
      <w:r w:rsidR="00757164" w:rsidRPr="00D1307A">
        <w:t xml:space="preserve"> </w:t>
      </w:r>
      <w:r w:rsidR="00304AE8" w:rsidRPr="00D1307A">
        <w:t>с</w:t>
      </w:r>
      <w:r w:rsidR="00757164" w:rsidRPr="00D1307A">
        <w:t>убсиди</w:t>
      </w:r>
      <w:r w:rsidR="004A13EA" w:rsidRPr="00D1307A">
        <w:t>й</w:t>
      </w:r>
      <w:r w:rsidR="00757164" w:rsidRPr="00D1307A">
        <w:t xml:space="preserve"> </w:t>
      </w:r>
      <w:r w:rsidR="009C234A" w:rsidRPr="00D1307A">
        <w:t xml:space="preserve">из областного бюджета </w:t>
      </w:r>
      <w:r w:rsidR="00757164" w:rsidRPr="00603E25">
        <w:t>местным бюджетам.</w:t>
      </w:r>
    </w:p>
    <w:p w:rsidR="0045228B" w:rsidRPr="007D1FA3" w:rsidRDefault="0045228B" w:rsidP="0045228B">
      <w:pPr>
        <w:pStyle w:val="a3"/>
        <w:rPr>
          <w:rFonts w:eastAsia="Times New Roman" w:cs="Times New Roman"/>
          <w:lang w:eastAsia="ru-RU"/>
        </w:rPr>
      </w:pPr>
      <w:r w:rsidRPr="007D1FA3">
        <w:rPr>
          <w:rFonts w:eastAsia="Times New Roman" w:cs="Times New Roman"/>
          <w:lang w:eastAsia="ru-RU"/>
        </w:rPr>
        <w:t>Понятия, используемые в порядке, означают следующее:</w:t>
      </w:r>
    </w:p>
    <w:p w:rsidR="0045228B" w:rsidRPr="007D1FA3" w:rsidRDefault="0045228B" w:rsidP="0045228B">
      <w:pPr>
        <w:pStyle w:val="a3"/>
        <w:rPr>
          <w:rFonts w:eastAsia="Times New Roman" w:cs="Times New Roman"/>
          <w:lang w:eastAsia="ru-RU"/>
        </w:rPr>
      </w:pPr>
      <w:r w:rsidRPr="007D1FA3">
        <w:rPr>
          <w:rFonts w:eastAsia="Times New Roman" w:cs="Times New Roman"/>
          <w:lang w:eastAsia="ru-RU"/>
        </w:rPr>
        <w:t xml:space="preserve">«малая библиотека» </w:t>
      </w:r>
      <w:r w:rsidR="007D1FA3" w:rsidRPr="007D1FA3">
        <w:rPr>
          <w:rFonts w:eastAsia="Times New Roman" w:cs="Times New Roman"/>
          <w:lang w:eastAsia="ru-RU"/>
        </w:rPr>
        <w:t>–</w:t>
      </w:r>
      <w:r w:rsidRPr="007D1FA3">
        <w:rPr>
          <w:rFonts w:eastAsia="Times New Roman" w:cs="Times New Roman"/>
          <w:lang w:eastAsia="ru-RU"/>
        </w:rPr>
        <w:t xml:space="preserve"> муниципальная библиотека, библиотека </w:t>
      </w:r>
      <w:r w:rsidR="007D1FA3" w:rsidRPr="007D1FA3">
        <w:rPr>
          <w:rFonts w:eastAsia="Times New Roman" w:cs="Times New Roman"/>
          <w:lang w:eastAsia="ru-RU"/>
        </w:rPr>
        <w:t>–</w:t>
      </w:r>
      <w:r w:rsidRPr="007D1FA3">
        <w:rPr>
          <w:rFonts w:eastAsia="Times New Roman" w:cs="Times New Roman"/>
          <w:lang w:eastAsia="ru-RU"/>
        </w:rPr>
        <w:t xml:space="preserve"> филиал, структурное подразделение муниципальной библиотеки, библиотека </w:t>
      </w:r>
      <w:r w:rsidR="007D1FA3" w:rsidRPr="007D1FA3">
        <w:rPr>
          <w:rFonts w:eastAsia="Times New Roman" w:cs="Times New Roman"/>
          <w:lang w:eastAsia="ru-RU"/>
        </w:rPr>
        <w:t>–</w:t>
      </w:r>
      <w:r w:rsidRPr="007D1FA3">
        <w:rPr>
          <w:rFonts w:eastAsia="Times New Roman" w:cs="Times New Roman"/>
          <w:lang w:eastAsia="ru-RU"/>
        </w:rPr>
        <w:t xml:space="preserve"> филиал, структурное подразделение центральной районной библиотеки, центральной городской библиотеки или централизованной библиотечной системы, (далее </w:t>
      </w:r>
      <w:r w:rsidR="007D1FA3" w:rsidRPr="007D1FA3">
        <w:rPr>
          <w:rFonts w:eastAsia="Times New Roman" w:cs="Times New Roman"/>
          <w:lang w:eastAsia="ru-RU"/>
        </w:rPr>
        <w:t>–</w:t>
      </w:r>
      <w:r w:rsidRPr="007D1FA3">
        <w:rPr>
          <w:rFonts w:eastAsia="Times New Roman" w:cs="Times New Roman"/>
          <w:lang w:eastAsia="ru-RU"/>
        </w:rPr>
        <w:t xml:space="preserve"> малая библиотека);</w:t>
      </w:r>
    </w:p>
    <w:p w:rsidR="0045228B" w:rsidRPr="007D1FA3" w:rsidRDefault="007D1FA3" w:rsidP="0045228B">
      <w:pPr>
        <w:pStyle w:val="a3"/>
        <w:rPr>
          <w:rFonts w:eastAsia="Times New Roman" w:cs="Times New Roman"/>
          <w:lang w:eastAsia="ru-RU"/>
        </w:rPr>
      </w:pPr>
      <w:r w:rsidRPr="007D1FA3">
        <w:rPr>
          <w:rFonts w:eastAsia="Times New Roman" w:cs="Times New Roman"/>
          <w:lang w:eastAsia="ru-RU"/>
        </w:rPr>
        <w:t>«</w:t>
      </w:r>
      <w:r w:rsidR="0045228B" w:rsidRPr="007D1FA3">
        <w:rPr>
          <w:rFonts w:eastAsia="Times New Roman" w:cs="Times New Roman"/>
          <w:lang w:eastAsia="ru-RU"/>
        </w:rPr>
        <w:t>модельная муниципальная библиотека</w:t>
      </w:r>
      <w:r w:rsidRPr="007D1FA3">
        <w:rPr>
          <w:rFonts w:eastAsia="Times New Roman" w:cs="Times New Roman"/>
          <w:lang w:eastAsia="ru-RU"/>
        </w:rPr>
        <w:t>»</w:t>
      </w:r>
      <w:r w:rsidR="0045228B" w:rsidRPr="007D1FA3">
        <w:rPr>
          <w:rFonts w:eastAsia="Times New Roman" w:cs="Times New Roman"/>
          <w:lang w:eastAsia="ru-RU"/>
        </w:rPr>
        <w:t xml:space="preserve"> </w:t>
      </w:r>
      <w:r w:rsidRPr="007D1FA3">
        <w:rPr>
          <w:rFonts w:eastAsia="Times New Roman" w:cs="Times New Roman"/>
          <w:lang w:eastAsia="ru-RU"/>
        </w:rPr>
        <w:t>–</w:t>
      </w:r>
      <w:r w:rsidR="0045228B" w:rsidRPr="007D1FA3">
        <w:rPr>
          <w:rFonts w:eastAsia="Times New Roman" w:cs="Times New Roman"/>
          <w:lang w:eastAsia="ru-RU"/>
        </w:rPr>
        <w:t xml:space="preserve"> муниципальная библиотека, оснащенная высокоскоростным широкополосным доступом к информационно-телекоммуникационной сети </w:t>
      </w:r>
      <w:r w:rsidRPr="007D1FA3">
        <w:rPr>
          <w:rFonts w:eastAsia="Times New Roman" w:cs="Times New Roman"/>
          <w:lang w:eastAsia="ru-RU"/>
        </w:rPr>
        <w:t>«</w:t>
      </w:r>
      <w:r w:rsidR="0045228B" w:rsidRPr="007D1FA3">
        <w:rPr>
          <w:rFonts w:eastAsia="Times New Roman" w:cs="Times New Roman"/>
          <w:lang w:eastAsia="ru-RU"/>
        </w:rPr>
        <w:t>Интернет</w:t>
      </w:r>
      <w:r w:rsidRPr="007D1FA3">
        <w:rPr>
          <w:rFonts w:eastAsia="Times New Roman" w:cs="Times New Roman"/>
          <w:lang w:eastAsia="ru-RU"/>
        </w:rPr>
        <w:t>»</w:t>
      </w:r>
      <w:r w:rsidR="0045228B" w:rsidRPr="007D1FA3">
        <w:rPr>
          <w:rFonts w:eastAsia="Times New Roman" w:cs="Times New Roman"/>
          <w:lang w:eastAsia="ru-RU"/>
        </w:rPr>
        <w:t xml:space="preserve">, доступом к современным отечественным </w:t>
      </w:r>
      <w:r w:rsidR="0045228B" w:rsidRPr="007D1FA3">
        <w:rPr>
          <w:rFonts w:eastAsia="Times New Roman" w:cs="Times New Roman"/>
          <w:lang w:eastAsia="ru-RU"/>
        </w:rPr>
        <w:lastRenderedPageBreak/>
        <w:t xml:space="preserve">информационным ресурсам научного и художественного содержания на различных носителях, использующая в своей работе новейшие информационные технологии, которая функционирует как открытое общественное, культурное, информационное, просветительское пространство, комфортное место для индивидуальной или коллективной работы и творческой самореализации, в том числе для лиц с ограниченными возможностями здоровья (далее </w:t>
      </w:r>
      <w:r w:rsidRPr="007D1FA3">
        <w:rPr>
          <w:rFonts w:eastAsia="Times New Roman" w:cs="Times New Roman"/>
          <w:lang w:eastAsia="ru-RU"/>
        </w:rPr>
        <w:t>–</w:t>
      </w:r>
      <w:r w:rsidR="0045228B" w:rsidRPr="007D1FA3">
        <w:rPr>
          <w:rFonts w:eastAsia="Times New Roman" w:cs="Times New Roman"/>
          <w:lang w:eastAsia="ru-RU"/>
        </w:rPr>
        <w:t xml:space="preserve"> модельная библиотека);</w:t>
      </w:r>
    </w:p>
    <w:p w:rsidR="0045228B" w:rsidRPr="007D1FA3" w:rsidRDefault="007D1FA3" w:rsidP="0045228B">
      <w:pPr>
        <w:pStyle w:val="a3"/>
        <w:rPr>
          <w:rFonts w:eastAsia="Times New Roman" w:cs="Times New Roman"/>
          <w:lang w:eastAsia="ru-RU"/>
        </w:rPr>
      </w:pPr>
      <w:r w:rsidRPr="007D1FA3">
        <w:rPr>
          <w:rFonts w:eastAsia="Times New Roman" w:cs="Times New Roman"/>
          <w:lang w:eastAsia="ru-RU"/>
        </w:rPr>
        <w:t>«</w:t>
      </w:r>
      <w:r w:rsidR="0045228B" w:rsidRPr="007D1FA3">
        <w:rPr>
          <w:rFonts w:eastAsia="Times New Roman" w:cs="Times New Roman"/>
          <w:lang w:eastAsia="ru-RU"/>
        </w:rPr>
        <w:t>центральная библиотека</w:t>
      </w:r>
      <w:r w:rsidRPr="007D1FA3">
        <w:rPr>
          <w:rFonts w:eastAsia="Times New Roman" w:cs="Times New Roman"/>
          <w:lang w:eastAsia="ru-RU"/>
        </w:rPr>
        <w:t>»</w:t>
      </w:r>
      <w:r w:rsidR="0045228B" w:rsidRPr="007D1FA3">
        <w:rPr>
          <w:rFonts w:eastAsia="Times New Roman" w:cs="Times New Roman"/>
          <w:lang w:eastAsia="ru-RU"/>
        </w:rPr>
        <w:t xml:space="preserve"> </w:t>
      </w:r>
      <w:r w:rsidRPr="007D1FA3">
        <w:rPr>
          <w:rFonts w:eastAsia="Times New Roman" w:cs="Times New Roman"/>
          <w:lang w:eastAsia="ru-RU"/>
        </w:rPr>
        <w:t>–</w:t>
      </w:r>
      <w:r w:rsidR="0045228B" w:rsidRPr="007D1FA3">
        <w:rPr>
          <w:rFonts w:eastAsia="Times New Roman" w:cs="Times New Roman"/>
          <w:lang w:eastAsia="ru-RU"/>
        </w:rPr>
        <w:t xml:space="preserve"> муниципальная библиотека, имеющая статус центральной районной библиотеки или це</w:t>
      </w:r>
      <w:r w:rsidRPr="007D1FA3">
        <w:rPr>
          <w:rFonts w:eastAsia="Times New Roman" w:cs="Times New Roman"/>
          <w:lang w:eastAsia="ru-RU"/>
        </w:rPr>
        <w:t>нтральной городской библиотеки</w:t>
      </w:r>
      <w:r w:rsidR="0045228B" w:rsidRPr="007D1FA3">
        <w:rPr>
          <w:rFonts w:eastAsia="Times New Roman" w:cs="Times New Roman"/>
          <w:lang w:eastAsia="ru-RU"/>
        </w:rPr>
        <w:t xml:space="preserve">, в том числе входящая в централизованную библиотечную систему, осуществляющая функции, определенные в </w:t>
      </w:r>
      <w:hyperlink r:id="rId8">
        <w:r w:rsidR="0045228B" w:rsidRPr="007D1FA3">
          <w:rPr>
            <w:lang w:eastAsia="ru-RU"/>
          </w:rPr>
          <w:t>пункте 2 статьи 20</w:t>
        </w:r>
      </w:hyperlink>
      <w:r w:rsidR="0045228B" w:rsidRPr="007D1FA3">
        <w:rPr>
          <w:rFonts w:eastAsia="Times New Roman" w:cs="Times New Roman"/>
          <w:lang w:eastAsia="ru-RU"/>
        </w:rPr>
        <w:t xml:space="preserve"> Федерального закона Российской Федерации от 23.1</w:t>
      </w:r>
      <w:r w:rsidRPr="007D1FA3">
        <w:rPr>
          <w:rFonts w:eastAsia="Times New Roman" w:cs="Times New Roman"/>
          <w:lang w:eastAsia="ru-RU"/>
        </w:rPr>
        <w:t>2</w:t>
      </w:r>
      <w:r w:rsidR="0045228B" w:rsidRPr="007D1FA3">
        <w:rPr>
          <w:rFonts w:eastAsia="Times New Roman" w:cs="Times New Roman"/>
          <w:lang w:eastAsia="ru-RU"/>
        </w:rPr>
        <w:t xml:space="preserve">.1994 </w:t>
      </w:r>
      <w:r w:rsidRPr="007D1FA3">
        <w:rPr>
          <w:rFonts w:eastAsia="Times New Roman" w:cs="Times New Roman"/>
          <w:lang w:eastAsia="ru-RU"/>
        </w:rPr>
        <w:t>№ 78-ФЗ</w:t>
      </w:r>
      <w:r w:rsidR="0045228B" w:rsidRPr="007D1FA3">
        <w:rPr>
          <w:rFonts w:eastAsia="Times New Roman" w:cs="Times New Roman"/>
          <w:lang w:eastAsia="ru-RU"/>
        </w:rPr>
        <w:t xml:space="preserve"> </w:t>
      </w:r>
      <w:r w:rsidRPr="007D1FA3">
        <w:rPr>
          <w:rFonts w:eastAsia="Times New Roman" w:cs="Times New Roman"/>
          <w:lang w:eastAsia="ru-RU"/>
        </w:rPr>
        <w:t>«</w:t>
      </w:r>
      <w:r w:rsidR="0045228B" w:rsidRPr="007D1FA3">
        <w:rPr>
          <w:rFonts w:eastAsia="Times New Roman" w:cs="Times New Roman"/>
          <w:lang w:eastAsia="ru-RU"/>
        </w:rPr>
        <w:t>О библиотечном деле</w:t>
      </w:r>
      <w:r w:rsidRPr="007D1FA3">
        <w:rPr>
          <w:rFonts w:eastAsia="Times New Roman" w:cs="Times New Roman"/>
          <w:lang w:eastAsia="ru-RU"/>
        </w:rPr>
        <w:t>»</w:t>
      </w:r>
      <w:r w:rsidR="004360B5">
        <w:rPr>
          <w:rFonts w:eastAsia="Times New Roman" w:cs="Times New Roman"/>
          <w:lang w:eastAsia="ru-RU"/>
        </w:rPr>
        <w:t>.</w:t>
      </w:r>
    </w:p>
    <w:p w:rsidR="00F544C1" w:rsidRPr="002A54D0" w:rsidRDefault="003A4452" w:rsidP="00E36C90">
      <w:pPr>
        <w:pStyle w:val="a3"/>
      </w:pPr>
      <w:r w:rsidRPr="00EB0C39">
        <w:t>2. Целью предоставления субсиди</w:t>
      </w:r>
      <w:r w:rsidR="004A13EA" w:rsidRPr="00EB0C39">
        <w:t>й</w:t>
      </w:r>
      <w:r w:rsidRPr="00EB0C39">
        <w:t xml:space="preserve"> является </w:t>
      </w:r>
      <w:proofErr w:type="spellStart"/>
      <w:r w:rsidRPr="00EB0C39">
        <w:t>софинансирование</w:t>
      </w:r>
      <w:proofErr w:type="spellEnd"/>
      <w:r w:rsidRPr="00EB0C39">
        <w:t xml:space="preserve"> затрат местных бюджетов</w:t>
      </w:r>
      <w:r w:rsidR="00EB0C39" w:rsidRPr="00EB0C39">
        <w:t xml:space="preserve"> на создание модельных муниципальных библиотек путем модернизации деятельности муниципальных библиотек и внедрения в них эффективных моделей управления, направленных на повышение качества </w:t>
      </w:r>
      <w:r w:rsidR="00EB0C39" w:rsidRPr="002A54D0">
        <w:t>предоставляемого ими библиотечно-информационного обслуживания.</w:t>
      </w:r>
    </w:p>
    <w:p w:rsidR="008F1007" w:rsidRPr="002A54D0" w:rsidRDefault="008F1007" w:rsidP="008F1007">
      <w:pPr>
        <w:pStyle w:val="a3"/>
      </w:pPr>
      <w:r w:rsidRPr="002A54D0">
        <w:t>3. Создание модельных муниципальных библиотек включает в себя следующие требования:</w:t>
      </w:r>
    </w:p>
    <w:p w:rsidR="008F1007" w:rsidRPr="002A54D0" w:rsidRDefault="008F1007" w:rsidP="008F1007">
      <w:pPr>
        <w:pStyle w:val="a3"/>
      </w:pPr>
      <w:r w:rsidRPr="002A54D0">
        <w:t>1) 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содержания, оцифрованным ресурсам периодической печати;</w:t>
      </w:r>
    </w:p>
    <w:p w:rsidR="008F1007" w:rsidRPr="002A54D0" w:rsidRDefault="008F1007" w:rsidP="008F1007">
      <w:pPr>
        <w:pStyle w:val="a3"/>
      </w:pPr>
      <w:r w:rsidRPr="002A54D0">
        <w:t>2) оснащение муниципальных библиотек высокоскоростным широкополосным доступом к</w:t>
      </w:r>
      <w:bookmarkStart w:id="0" w:name="_GoBack"/>
      <w:bookmarkEnd w:id="0"/>
      <w:r w:rsidRPr="002A54D0">
        <w:t xml:space="preserve"> сети «Интернет»;</w:t>
      </w:r>
    </w:p>
    <w:p w:rsidR="008F1007" w:rsidRPr="002A54D0" w:rsidRDefault="008F1007" w:rsidP="008F1007">
      <w:pPr>
        <w:pStyle w:val="a3"/>
      </w:pPr>
      <w:r w:rsidRPr="002A54D0">
        <w:t>3) создание точек доступа к федеральной государственной информационной системе «Национальная электронная библиотека»;</w:t>
      </w:r>
    </w:p>
    <w:p w:rsidR="008F1007" w:rsidRPr="002A54D0" w:rsidRDefault="008F1007" w:rsidP="008F1007">
      <w:pPr>
        <w:pStyle w:val="a3"/>
      </w:pPr>
      <w:r w:rsidRPr="002A54D0">
        <w:t>4) создание современного библиотечного пространства;</w:t>
      </w:r>
    </w:p>
    <w:p w:rsidR="008F1007" w:rsidRPr="002A54D0" w:rsidRDefault="008F1007" w:rsidP="008F1007">
      <w:pPr>
        <w:pStyle w:val="a3"/>
      </w:pPr>
      <w:r w:rsidRPr="002A54D0">
        <w:t>5) формирование и поддержка деятельности дискуссионных клубов, кружков и консультационных пунктов;</w:t>
      </w:r>
    </w:p>
    <w:p w:rsidR="008F1007" w:rsidRPr="002A54D0" w:rsidRDefault="008F1007" w:rsidP="008F1007">
      <w:pPr>
        <w:pStyle w:val="a3"/>
      </w:pPr>
      <w:r w:rsidRPr="002A54D0">
        <w:t>6) регулярное проведение культурно-просветительских, социально значимых и образовательных мероприятий для всех возрастных групп пользователей муниципальной библиотеки и населения, обслуживаемых ею;</w:t>
      </w:r>
    </w:p>
    <w:p w:rsidR="008F1007" w:rsidRPr="008F1007" w:rsidRDefault="008F1007" w:rsidP="008F1007">
      <w:pPr>
        <w:pStyle w:val="a3"/>
      </w:pPr>
      <w:r w:rsidRPr="002A54D0">
        <w:t>7) профессиональная переподготовка и повышение квалификации основного персонала муниципальной библиотеки.</w:t>
      </w:r>
    </w:p>
    <w:p w:rsidR="008507C3" w:rsidRPr="0045228B" w:rsidRDefault="008F1007" w:rsidP="00E36C90">
      <w:pPr>
        <w:pStyle w:val="a3"/>
      </w:pPr>
      <w:r>
        <w:t>4</w:t>
      </w:r>
      <w:r w:rsidR="00892609" w:rsidRPr="0045228B">
        <w:t>. </w:t>
      </w:r>
      <w:r w:rsidR="008507C3" w:rsidRPr="0045228B">
        <w:t>Субсидии предоставляются бюджетам муниципальных районов</w:t>
      </w:r>
      <w:r w:rsidR="00C66144" w:rsidRPr="0045228B">
        <w:t xml:space="preserve"> и городских округов</w:t>
      </w:r>
      <w:r w:rsidR="008507C3" w:rsidRPr="0045228B">
        <w:t xml:space="preserve"> Новосибирской области (далее – муниципальные образования) в соответствии с предусмотренными законом об областном бюджете Новосибирской области бюджетными ассигнованиями в пределах, утвержденных министерству культуры Новосибирской области (далее – Министерство) лимитов бюджетных обязательств</w:t>
      </w:r>
      <w:r w:rsidR="0051641C" w:rsidRPr="0045228B">
        <w:t>,</w:t>
      </w:r>
      <w:r w:rsidR="008507C3" w:rsidRPr="0045228B">
        <w:t xml:space="preserve"> </w:t>
      </w:r>
      <w:r w:rsidR="0051641C" w:rsidRPr="0045228B">
        <w:t xml:space="preserve">в том числе источником финансового обеспечения которых являются субсидии из федерального бюджета в рамках региональной составляющей федерального проекта «Обеспечение качественно нового уровня развития инфраструктуры культуры («Культурная среда») (Новосибирская область)» национального проекта «Культура», </w:t>
      </w:r>
      <w:r w:rsidR="008507C3" w:rsidRPr="0045228B">
        <w:t>на цел</w:t>
      </w:r>
      <w:r w:rsidR="00980AAB" w:rsidRPr="0045228B">
        <w:t>ь</w:t>
      </w:r>
      <w:r w:rsidR="008507C3" w:rsidRPr="0045228B">
        <w:t>, указанн</w:t>
      </w:r>
      <w:r w:rsidR="00980AAB" w:rsidRPr="0045228B">
        <w:t>ую</w:t>
      </w:r>
      <w:r w:rsidR="008507C3" w:rsidRPr="0045228B">
        <w:t xml:space="preserve"> в пункте 2 </w:t>
      </w:r>
      <w:r w:rsidR="00455BA8" w:rsidRPr="0045228B">
        <w:t xml:space="preserve">настоящего </w:t>
      </w:r>
      <w:r w:rsidR="008507C3" w:rsidRPr="0045228B">
        <w:t>порядка.</w:t>
      </w:r>
    </w:p>
    <w:p w:rsidR="008B604C" w:rsidRPr="0045228B" w:rsidRDefault="008B604C" w:rsidP="00E36C90">
      <w:pPr>
        <w:pStyle w:val="a3"/>
      </w:pPr>
    </w:p>
    <w:p w:rsidR="008B604C" w:rsidRPr="0045228B" w:rsidRDefault="00D9558B" w:rsidP="00284535">
      <w:pPr>
        <w:pStyle w:val="a3"/>
        <w:jc w:val="center"/>
      </w:pPr>
      <w:r w:rsidRPr="0045228B">
        <w:rPr>
          <w:lang w:val="en-US"/>
        </w:rPr>
        <w:t>II</w:t>
      </w:r>
      <w:r w:rsidRPr="0045228B">
        <w:t>.</w:t>
      </w:r>
      <w:r w:rsidRPr="0045228B">
        <w:rPr>
          <w:lang w:val="en-US"/>
        </w:rPr>
        <w:t> </w:t>
      </w:r>
      <w:r w:rsidR="00B24DC8" w:rsidRPr="0045228B">
        <w:t xml:space="preserve">Условия </w:t>
      </w:r>
      <w:r w:rsidR="008B604C" w:rsidRPr="0045228B">
        <w:t xml:space="preserve">предоставления </w:t>
      </w:r>
      <w:r w:rsidR="009E4620" w:rsidRPr="0045228B">
        <w:t>субсидий</w:t>
      </w:r>
    </w:p>
    <w:p w:rsidR="008B604C" w:rsidRPr="0045228B" w:rsidRDefault="008B604C" w:rsidP="00E36C90">
      <w:pPr>
        <w:pStyle w:val="a3"/>
      </w:pPr>
    </w:p>
    <w:p w:rsidR="00F957BC" w:rsidRPr="0045228B" w:rsidRDefault="008F1007" w:rsidP="00E36C90">
      <w:pPr>
        <w:pStyle w:val="a3"/>
      </w:pPr>
      <w:r>
        <w:t>5</w:t>
      </w:r>
      <w:r w:rsidR="008C7575" w:rsidRPr="0045228B">
        <w:t>. </w:t>
      </w:r>
      <w:r w:rsidR="009E4620" w:rsidRPr="0045228B">
        <w:t xml:space="preserve">Субсидии </w:t>
      </w:r>
      <w:r w:rsidR="000561D9" w:rsidRPr="0045228B">
        <w:t>предоставля</w:t>
      </w:r>
      <w:r w:rsidR="004A13EA" w:rsidRPr="0045228B">
        <w:t>ю</w:t>
      </w:r>
      <w:r w:rsidR="000561D9" w:rsidRPr="0045228B">
        <w:t xml:space="preserve">тся </w:t>
      </w:r>
      <w:r w:rsidR="009E4620" w:rsidRPr="0045228B">
        <w:t>муниципальн</w:t>
      </w:r>
      <w:r w:rsidR="004A13EA" w:rsidRPr="0045228B">
        <w:t>ым</w:t>
      </w:r>
      <w:r w:rsidR="009E4620" w:rsidRPr="0045228B">
        <w:t xml:space="preserve"> образовани</w:t>
      </w:r>
      <w:r w:rsidR="004A13EA" w:rsidRPr="0045228B">
        <w:t>ям</w:t>
      </w:r>
      <w:r w:rsidR="009E4620" w:rsidRPr="0045228B">
        <w:t xml:space="preserve"> при выполнении им</w:t>
      </w:r>
      <w:r w:rsidR="004A13EA" w:rsidRPr="0045228B">
        <w:t>и</w:t>
      </w:r>
      <w:r w:rsidR="009E4620" w:rsidRPr="0045228B">
        <w:t xml:space="preserve"> </w:t>
      </w:r>
      <w:r w:rsidR="000561D9" w:rsidRPr="0045228B">
        <w:t xml:space="preserve">следующих </w:t>
      </w:r>
      <w:r w:rsidR="009E4620" w:rsidRPr="0045228B">
        <w:t>условий</w:t>
      </w:r>
      <w:r w:rsidR="00791FB2" w:rsidRPr="0045228B">
        <w:t>:</w:t>
      </w:r>
    </w:p>
    <w:p w:rsidR="009E4620" w:rsidRPr="0045228B" w:rsidRDefault="009E4620" w:rsidP="00E36C90">
      <w:pPr>
        <w:pStyle w:val="a3"/>
      </w:pPr>
      <w:r w:rsidRPr="0045228B">
        <w:t>1) </w:t>
      </w:r>
      <w:r w:rsidR="008507C3" w:rsidRPr="0045228B"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45228B">
        <w:t>софинансируются</w:t>
      </w:r>
      <w:proofErr w:type="spellEnd"/>
      <w:r w:rsidR="008507C3" w:rsidRPr="0045228B"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</w:t>
      </w:r>
      <w:r w:rsidR="00331476" w:rsidRPr="0045228B">
        <w:t>,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прочих субсидий юридическим лицам)</w:t>
      </w:r>
      <w:r w:rsidR="008507C3" w:rsidRPr="0045228B">
        <w:t>;</w:t>
      </w:r>
    </w:p>
    <w:p w:rsidR="00F005C7" w:rsidRPr="0045228B" w:rsidRDefault="007B47D8" w:rsidP="00E36C90">
      <w:pPr>
        <w:pStyle w:val="a3"/>
      </w:pPr>
      <w:r w:rsidRPr="0045228B">
        <w:t>2</w:t>
      </w:r>
      <w:r w:rsidR="0007426A" w:rsidRPr="0045228B">
        <w:t>)</w:t>
      </w:r>
      <w:r w:rsidR="002D7027" w:rsidRPr="0045228B">
        <w:t> </w:t>
      </w:r>
      <w:r w:rsidR="008507C3" w:rsidRPr="0045228B">
        <w:t>заключение на срок, соответствующий сроку распределения субсиди</w:t>
      </w:r>
      <w:r w:rsidR="004A13EA" w:rsidRPr="0045228B">
        <w:t>й</w:t>
      </w:r>
      <w:r w:rsidR="008507C3" w:rsidRPr="0045228B">
        <w:t xml:space="preserve">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45228B">
        <w:t>софинансирования</w:t>
      </w:r>
      <w:proofErr w:type="spellEnd"/>
      <w:r w:rsidR="008507C3" w:rsidRPr="0045228B">
        <w:t xml:space="preserve">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45228B" w:rsidRDefault="00F005C7" w:rsidP="00E36C90">
      <w:pPr>
        <w:pStyle w:val="a3"/>
      </w:pPr>
      <w:r w:rsidRPr="0045228B">
        <w:t xml:space="preserve">В случае </w:t>
      </w:r>
      <w:r w:rsidR="00CA7F2D" w:rsidRPr="0045228B">
        <w:t>заключени</w:t>
      </w:r>
      <w:r w:rsidRPr="0045228B">
        <w:t>я</w:t>
      </w:r>
      <w:r w:rsidR="00CA7F2D" w:rsidRPr="0045228B">
        <w:t xml:space="preserve"> между Министерством и муниципальным образованием</w:t>
      </w:r>
      <w:r w:rsidR="00260C19" w:rsidRPr="0045228B">
        <w:t xml:space="preserve"> соглашения</w:t>
      </w:r>
      <w:r w:rsidR="00CA7F2D" w:rsidRPr="0045228B">
        <w:t xml:space="preserve"> </w:t>
      </w:r>
      <w:r w:rsidRPr="0045228B"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45228B">
        <w:t>софинансировани</w:t>
      </w:r>
      <w:r w:rsidR="00260C19" w:rsidRPr="0045228B">
        <w:t>е</w:t>
      </w:r>
      <w:proofErr w:type="spellEnd"/>
      <w:r w:rsidRPr="0045228B">
        <w:t xml:space="preserve"> которых </w:t>
      </w:r>
      <w:r w:rsidR="00260C19" w:rsidRPr="0045228B"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45228B">
        <w:t xml:space="preserve">соглашение заключается </w:t>
      </w:r>
      <w:r w:rsidR="00CA7F2D" w:rsidRPr="0045228B"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45228B">
        <w:t xml:space="preserve"> приказом Министерства финансов Российской Федерации от 14.12.2018 № 269н «Об утверждении Типовой формы соглашения о предоставлении субсидии из федерального бюджета бюджету субъекта Российской Федерации»</w:t>
      </w:r>
      <w:r w:rsidR="00F30760" w:rsidRPr="0045228B">
        <w:t>;</w:t>
      </w:r>
    </w:p>
    <w:p w:rsidR="00DE3416" w:rsidRPr="0045228B" w:rsidRDefault="007B47D8" w:rsidP="00E36C90">
      <w:pPr>
        <w:pStyle w:val="a3"/>
        <w:rPr>
          <w:i/>
        </w:rPr>
      </w:pPr>
      <w:r w:rsidRPr="0045228B">
        <w:t>3</w:t>
      </w:r>
      <w:r w:rsidR="00024DB7" w:rsidRPr="0045228B">
        <w:t>) </w:t>
      </w:r>
      <w:r w:rsidR="00E20EA3" w:rsidRPr="0045228B">
        <w:t>централизация закупок товаров, работ, услуг, финансовое обеспечение которых частично или полностью осуществляется за счет предоставленной субсидии в соответствии с пунктом 1 и подпунктом 2 пункта 4 постановления Правительства Новосибирской области от 30.12.2013 № 597-п «О наделении полномочия</w:t>
      </w:r>
      <w:r w:rsidR="000458F2" w:rsidRPr="0045228B">
        <w:t>ми</w:t>
      </w:r>
      <w:r w:rsidR="00E20EA3" w:rsidRPr="0045228B">
        <w:t xml:space="preserve"> государственного казенного учреждения Новосибирской области «Управление контрактной системы»;</w:t>
      </w:r>
    </w:p>
    <w:p w:rsidR="00E20EA3" w:rsidRPr="0045228B" w:rsidRDefault="007B47D8" w:rsidP="00E36C90">
      <w:pPr>
        <w:pStyle w:val="a3"/>
      </w:pPr>
      <w:r w:rsidRPr="0045228B">
        <w:lastRenderedPageBreak/>
        <w:t>4</w:t>
      </w:r>
      <w:r w:rsidR="00791990" w:rsidRPr="0045228B">
        <w:t>) </w:t>
      </w:r>
      <w:r w:rsidR="00E20EA3" w:rsidRPr="0045228B">
        <w:t xml:space="preserve">наличие муниципальных контрактов </w:t>
      </w:r>
      <w:r w:rsidR="00893AAB" w:rsidRPr="0045228B">
        <w:t xml:space="preserve">на реализацию мероприятий государственной программы по направлениям, указанным в пункте 2 </w:t>
      </w:r>
      <w:r w:rsidR="00455BA8" w:rsidRPr="0045228B">
        <w:t xml:space="preserve">настоящего </w:t>
      </w:r>
      <w:r w:rsidR="00893AAB" w:rsidRPr="0045228B">
        <w:t>порядка</w:t>
      </w:r>
      <w:r w:rsidR="00E20EA3" w:rsidRPr="0045228B">
        <w:t>;</w:t>
      </w:r>
    </w:p>
    <w:p w:rsidR="00CD464D" w:rsidRPr="0045228B" w:rsidRDefault="007B47D8" w:rsidP="00E36C90">
      <w:pPr>
        <w:pStyle w:val="a3"/>
      </w:pPr>
      <w:r w:rsidRPr="0045228B">
        <w:t>5</w:t>
      </w:r>
      <w:r w:rsidR="00A313B0" w:rsidRPr="0045228B">
        <w:t>)</w:t>
      </w:r>
      <w:r w:rsidR="00D16958" w:rsidRPr="0045228B">
        <w:t> </w:t>
      </w:r>
      <w:r w:rsidR="00CD464D" w:rsidRPr="0045228B"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0B47C9" w:rsidRPr="0045228B" w:rsidRDefault="007B47D8" w:rsidP="00E36C90">
      <w:pPr>
        <w:pStyle w:val="a3"/>
      </w:pPr>
      <w:r w:rsidRPr="0045228B">
        <w:t>6</w:t>
      </w:r>
      <w:r w:rsidR="008F1582" w:rsidRPr="0045228B"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45228B">
        <w:t>софинансирования</w:t>
      </w:r>
      <w:proofErr w:type="spellEnd"/>
      <w:r w:rsidR="008F1582" w:rsidRPr="0045228B">
        <w:t xml:space="preserve"> которых осущест</w:t>
      </w:r>
      <w:r w:rsidR="008C65CC" w:rsidRPr="0045228B">
        <w:t>вляется предоставление субсидии;</w:t>
      </w:r>
    </w:p>
    <w:p w:rsidR="005C1461" w:rsidRPr="0045228B" w:rsidRDefault="007B47D8" w:rsidP="00E36C90">
      <w:pPr>
        <w:pStyle w:val="a3"/>
      </w:pPr>
      <w:r w:rsidRPr="0045228B">
        <w:t>7</w:t>
      </w:r>
      <w:r w:rsidR="005C1461" w:rsidRPr="0045228B">
        <w:t>) </w:t>
      </w:r>
      <w:r w:rsidR="00EC64F5" w:rsidRPr="0045228B">
        <w:t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:rsidR="008C65CC" w:rsidRPr="0045228B" w:rsidRDefault="007B47D8" w:rsidP="00E36C90">
      <w:pPr>
        <w:pStyle w:val="a3"/>
      </w:pPr>
      <w:bookmarkStart w:id="1" w:name="P73"/>
      <w:bookmarkEnd w:id="1"/>
      <w:r w:rsidRPr="0045228B">
        <w:t>8</w:t>
      </w:r>
      <w:r w:rsidR="008C65CC" w:rsidRPr="0045228B">
        <w:t>) 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:rsidR="008C65CC" w:rsidRPr="001E3AFC" w:rsidRDefault="007B47D8" w:rsidP="00E36C90">
      <w:pPr>
        <w:pStyle w:val="a3"/>
      </w:pPr>
      <w:bookmarkStart w:id="2" w:name="P75"/>
      <w:bookmarkEnd w:id="2"/>
      <w:r w:rsidRPr="0045228B">
        <w:t>9</w:t>
      </w:r>
      <w:r w:rsidR="008C65CC" w:rsidRPr="0045228B">
        <w:t xml:space="preserve">) сокращение объема субсидии, в случае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="008C65CC" w:rsidRPr="0045228B">
        <w:t>софинансирования</w:t>
      </w:r>
      <w:proofErr w:type="spellEnd"/>
      <w:r w:rsidR="008C65CC" w:rsidRPr="0045228B"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EC64F5" w:rsidRPr="001E3AFC" w:rsidRDefault="00EC64F5" w:rsidP="00E36C90">
      <w:pPr>
        <w:pStyle w:val="a3"/>
      </w:pPr>
    </w:p>
    <w:p w:rsidR="00D954D7" w:rsidRPr="001E3AFC" w:rsidRDefault="00D954D7" w:rsidP="00284535">
      <w:pPr>
        <w:pStyle w:val="a3"/>
        <w:jc w:val="center"/>
      </w:pPr>
      <w:r w:rsidRPr="001E3AFC">
        <w:rPr>
          <w:lang w:val="en-US"/>
        </w:rPr>
        <w:t>III</w:t>
      </w:r>
      <w:r w:rsidRPr="001E3AFC">
        <w:t>. Порядок распределения субсиди</w:t>
      </w:r>
      <w:r w:rsidR="000340A2" w:rsidRPr="001E3AFC">
        <w:t>й</w:t>
      </w:r>
    </w:p>
    <w:p w:rsidR="00D954D7" w:rsidRPr="001E3AFC" w:rsidRDefault="00D954D7" w:rsidP="00E36C90">
      <w:pPr>
        <w:pStyle w:val="a3"/>
      </w:pPr>
    </w:p>
    <w:p w:rsidR="00BC09D3" w:rsidRPr="000B0268" w:rsidRDefault="008F100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54D7" w:rsidRPr="000B0268">
        <w:rPr>
          <w:sz w:val="28"/>
          <w:szCs w:val="28"/>
        </w:rPr>
        <w:t>. Критериями отбора муниципальных образований для предоставления субсиди</w:t>
      </w:r>
      <w:r w:rsidR="00D67A7F" w:rsidRPr="000B0268">
        <w:rPr>
          <w:sz w:val="28"/>
          <w:szCs w:val="28"/>
        </w:rPr>
        <w:t>й</w:t>
      </w:r>
      <w:r w:rsidR="00B44503" w:rsidRPr="000B0268">
        <w:rPr>
          <w:sz w:val="28"/>
          <w:szCs w:val="28"/>
        </w:rPr>
        <w:t xml:space="preserve"> являются</w:t>
      </w:r>
      <w:r w:rsidR="00BC09D3" w:rsidRPr="000B0268">
        <w:rPr>
          <w:sz w:val="28"/>
          <w:szCs w:val="28"/>
        </w:rPr>
        <w:t>:</w:t>
      </w:r>
    </w:p>
    <w:p w:rsidR="00E36C90" w:rsidRPr="001E3AFC" w:rsidRDefault="000B0268" w:rsidP="00E36C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448A">
        <w:rPr>
          <w:rFonts w:ascii="Times New Roman" w:hAnsi="Times New Roman" w:cs="Times New Roman"/>
          <w:sz w:val="28"/>
          <w:szCs w:val="28"/>
        </w:rPr>
        <w:t>1</w:t>
      </w:r>
      <w:r w:rsidR="00D954D7" w:rsidRPr="0010448A">
        <w:rPr>
          <w:rFonts w:ascii="Times New Roman" w:hAnsi="Times New Roman" w:cs="Times New Roman"/>
          <w:sz w:val="28"/>
          <w:szCs w:val="28"/>
        </w:rPr>
        <w:t>) </w:t>
      </w:r>
      <w:r w:rsidR="00CB1D79" w:rsidRPr="0010448A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33F2F" w:rsidRPr="0010448A">
        <w:rPr>
          <w:rFonts w:ascii="Times New Roman" w:hAnsi="Times New Roman" w:cs="Times New Roman"/>
          <w:sz w:val="28"/>
          <w:szCs w:val="28"/>
        </w:rPr>
        <w:t>утвержденного</w:t>
      </w:r>
      <w:r w:rsidR="00F60EB8" w:rsidRPr="0010448A">
        <w:rPr>
          <w:rFonts w:ascii="Times New Roman" w:hAnsi="Times New Roman" w:cs="Times New Roman"/>
          <w:sz w:val="28"/>
          <w:szCs w:val="28"/>
        </w:rPr>
        <w:t xml:space="preserve"> Министерством культуры Российской Федерации (далее – Минкультуры России) </w:t>
      </w:r>
      <w:bookmarkStart w:id="3" w:name="P5368"/>
      <w:bookmarkEnd w:id="3"/>
      <w:r w:rsidR="00533F2F" w:rsidRPr="0010448A">
        <w:rPr>
          <w:rFonts w:ascii="Times New Roman" w:hAnsi="Times New Roman" w:cs="Times New Roman"/>
          <w:sz w:val="28"/>
          <w:szCs w:val="28"/>
        </w:rPr>
        <w:t>решения об объявлении победителей отбора</w:t>
      </w:r>
      <w:r w:rsidRPr="0010448A">
        <w:rPr>
          <w:rFonts w:ascii="Times New Roman" w:hAnsi="Times New Roman" w:cs="Times New Roman"/>
          <w:sz w:val="28"/>
          <w:szCs w:val="28"/>
        </w:rPr>
        <w:t xml:space="preserve"> на создание модельных муниципальных библиотек</w:t>
      </w:r>
      <w:r w:rsidR="0010448A">
        <w:rPr>
          <w:rFonts w:ascii="Times New Roman" w:hAnsi="Times New Roman" w:cs="Times New Roman"/>
          <w:sz w:val="28"/>
          <w:szCs w:val="28"/>
        </w:rPr>
        <w:t>;</w:t>
      </w:r>
    </w:p>
    <w:p w:rsidR="001140DF" w:rsidRPr="00606599" w:rsidRDefault="00DE6FF8" w:rsidP="00E36C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40DF" w:rsidRPr="00606599">
        <w:rPr>
          <w:rFonts w:ascii="Times New Roman" w:hAnsi="Times New Roman" w:cs="Times New Roman"/>
          <w:sz w:val="28"/>
          <w:szCs w:val="28"/>
        </w:rPr>
        <w:t xml:space="preserve">) наличие результатов оценки заявок на участие в конкурсном отборе муниципальных образований на предоставление субсидий местным бюджетам на </w:t>
      </w:r>
      <w:r w:rsidR="001140DF" w:rsidRPr="00606599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модельных муниципальных библиотек (далее –заявка) по критериям согласно </w:t>
      </w:r>
      <w:proofErr w:type="gramStart"/>
      <w:r w:rsidR="001140DF" w:rsidRPr="0060659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140DF" w:rsidRPr="00606599">
        <w:rPr>
          <w:rFonts w:ascii="Times New Roman" w:hAnsi="Times New Roman" w:cs="Times New Roman"/>
          <w:sz w:val="28"/>
          <w:szCs w:val="28"/>
        </w:rPr>
        <w:t xml:space="preserve"> к </w:t>
      </w:r>
      <w:r w:rsidR="007E684D" w:rsidRPr="0060659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140DF" w:rsidRPr="00606599">
        <w:rPr>
          <w:rFonts w:ascii="Times New Roman" w:hAnsi="Times New Roman" w:cs="Times New Roman"/>
          <w:sz w:val="28"/>
          <w:szCs w:val="28"/>
        </w:rPr>
        <w:t>порядку.</w:t>
      </w:r>
    </w:p>
    <w:p w:rsidR="00606599" w:rsidRPr="00606599" w:rsidRDefault="00606599" w:rsidP="00606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599">
        <w:rPr>
          <w:rFonts w:ascii="Times New Roman" w:hAnsi="Times New Roman" w:cs="Times New Roman"/>
          <w:sz w:val="28"/>
          <w:szCs w:val="28"/>
        </w:rPr>
        <w:t>Порядок организации и проведения конкурсного отбора муниципальных образований на предоставление субсидий на создание модельных муниципальных библиотек устанавливается Министерством.</w:t>
      </w:r>
    </w:p>
    <w:p w:rsidR="00606599" w:rsidRPr="00606599" w:rsidRDefault="00606599" w:rsidP="00606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599">
        <w:rPr>
          <w:rFonts w:ascii="Times New Roman" w:hAnsi="Times New Roman" w:cs="Times New Roman"/>
          <w:sz w:val="28"/>
          <w:szCs w:val="28"/>
        </w:rPr>
        <w:t>Министерство определяет рейтинг заявок путем сложения баллов по каждому критерию, определенному в приложении к настоящему порядку.</w:t>
      </w:r>
    </w:p>
    <w:p w:rsidR="00606599" w:rsidRPr="00606599" w:rsidRDefault="00606599" w:rsidP="00606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599">
        <w:rPr>
          <w:rFonts w:ascii="Times New Roman" w:hAnsi="Times New Roman" w:cs="Times New Roman"/>
          <w:sz w:val="28"/>
          <w:szCs w:val="28"/>
        </w:rPr>
        <w:t>Максимально возможное количество баллов - 200.</w:t>
      </w:r>
    </w:p>
    <w:p w:rsidR="00606599" w:rsidRPr="00606599" w:rsidRDefault="00606599" w:rsidP="00606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599">
        <w:rPr>
          <w:rFonts w:ascii="Times New Roman" w:hAnsi="Times New Roman" w:cs="Times New Roman"/>
          <w:sz w:val="28"/>
          <w:szCs w:val="28"/>
        </w:rPr>
        <w:t>При отсутствии сведений по определенному критерию указывается 0 баллов.</w:t>
      </w:r>
    </w:p>
    <w:p w:rsidR="00606599" w:rsidRPr="00606599" w:rsidRDefault="00606599" w:rsidP="00606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599">
        <w:rPr>
          <w:rFonts w:ascii="Times New Roman" w:hAnsi="Times New Roman" w:cs="Times New Roman"/>
          <w:sz w:val="28"/>
          <w:szCs w:val="28"/>
        </w:rPr>
        <w:t>В случае получения двумя и более заявками одинакового количества баллов победителем признается заявка муниципального образования, не побеждавшего ранее, поступившая в Министерство по дате и времени раньше остальных заявок.</w:t>
      </w:r>
    </w:p>
    <w:p w:rsidR="00EB2929" w:rsidRPr="00606599" w:rsidRDefault="00606599" w:rsidP="006065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6599">
        <w:rPr>
          <w:rFonts w:ascii="Times New Roman" w:hAnsi="Times New Roman" w:cs="Times New Roman"/>
          <w:sz w:val="28"/>
          <w:szCs w:val="28"/>
        </w:rPr>
        <w:t>Решение Министерства об объявлении победителей конкурсного отбора размещается на официальном сайте Министерства в сети «Интернет».</w:t>
      </w:r>
    </w:p>
    <w:p w:rsidR="00F212AD" w:rsidRPr="00F212AD" w:rsidRDefault="008F1007" w:rsidP="00E36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738E" w:rsidRPr="00F212AD">
        <w:rPr>
          <w:rFonts w:ascii="Times New Roman" w:hAnsi="Times New Roman" w:cs="Times New Roman"/>
          <w:sz w:val="28"/>
          <w:szCs w:val="28"/>
        </w:rPr>
        <w:t>. </w:t>
      </w:r>
      <w:r w:rsidR="00135356" w:rsidRPr="00F212AD">
        <w:rPr>
          <w:rFonts w:ascii="Times New Roman" w:hAnsi="Times New Roman" w:cs="Times New Roman"/>
          <w:sz w:val="28"/>
          <w:szCs w:val="28"/>
        </w:rPr>
        <w:t>Распределение объемов субсиди</w:t>
      </w:r>
      <w:r w:rsidR="000458F2" w:rsidRPr="00F212AD">
        <w:rPr>
          <w:rFonts w:ascii="Times New Roman" w:hAnsi="Times New Roman" w:cs="Times New Roman"/>
          <w:sz w:val="28"/>
          <w:szCs w:val="28"/>
        </w:rPr>
        <w:t>й</w:t>
      </w:r>
      <w:r w:rsidR="00135356" w:rsidRPr="00F212AD">
        <w:rPr>
          <w:rFonts w:ascii="Times New Roman" w:hAnsi="Times New Roman" w:cs="Times New Roman"/>
          <w:sz w:val="28"/>
          <w:szCs w:val="28"/>
        </w:rPr>
        <w:t xml:space="preserve"> на реализацию мероприятий государственной программы</w:t>
      </w:r>
      <w:r w:rsidR="000F2A2F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2AD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модельных муниципальных библиотек</w:t>
      </w:r>
      <w:r w:rsidR="00E36C9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0CAC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Министерством</w:t>
      </w:r>
      <w:r w:rsidR="00F212AD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8E" w:rsidRPr="00EB2929" w:rsidRDefault="00F212AD" w:rsidP="00E36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соглашения, заключаемого между Минкультуры России и Правительством Новосибирской области по итогам отбора, проводимого Минкультуры России в соответствии</w:t>
      </w:r>
      <w:r w:rsidR="00A53DA1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A738E" w:rsidRPr="00F212AD">
        <w:t xml:space="preserve"> 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субсидий из федерального бюджета бюджетам субъектов Российской Федерации</w:t>
      </w:r>
      <w:r w:rsidR="00F3076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модельных муниципальных библиотек</w:t>
      </w:r>
      <w:r w:rsidR="00E36C9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52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  <w:r w:rsidR="007F2E0D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2648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15.04.2014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2648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="002A738E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государственной программы Российской Федерации «Развитие </w:t>
      </w:r>
      <w:r w:rsidR="00A26480" w:rsidRPr="00F212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2A738E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29DF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критериев, установленных </w:t>
      </w:r>
      <w:r w:rsidR="000B0268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1 </w:t>
      </w:r>
      <w:r w:rsidR="000629DF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B0268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29DF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0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629DF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480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0629DF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2A738E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AAB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0458F2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0AAB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</w:t>
      </w:r>
      <w:r w:rsidR="000458F2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80AAB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муниципальным образованиям, в собственности которых находятся муниципальные </w:t>
      </w:r>
      <w:r w:rsidR="000B0268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</w:t>
      </w:r>
      <w:r w:rsidR="00980AAB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подпункте </w:t>
      </w:r>
      <w:r w:rsidR="000B0268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0AAB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8F10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0AAB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84D" w:rsidRPr="00EB2929" w:rsidRDefault="00DE6FF8" w:rsidP="007E68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684D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на основании результатов оценки заявок с учетом критериев, установленных подпунктом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684D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8F10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E684D" w:rsidRPr="00EB2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D954D7" w:rsidRPr="00A9433D" w:rsidRDefault="008F1007" w:rsidP="00E36C90">
      <w:pPr>
        <w:pStyle w:val="a3"/>
      </w:pPr>
      <w:r>
        <w:t>8</w:t>
      </w:r>
      <w:r w:rsidR="00D954D7" w:rsidRPr="00A9433D">
        <w:t>.</w:t>
      </w:r>
      <w:r w:rsidR="002A738E" w:rsidRPr="00A9433D">
        <w:t> </w:t>
      </w:r>
      <w:r w:rsidR="008A712F" w:rsidRPr="00A9433D">
        <w:t>Объем субсиди</w:t>
      </w:r>
      <w:r w:rsidR="000458F2" w:rsidRPr="00A9433D">
        <w:t>й</w:t>
      </w:r>
      <w:r w:rsidR="008A712F" w:rsidRPr="00A9433D">
        <w:t xml:space="preserve"> бюджетам муниципальных образований на реализацию мероприятий по </w:t>
      </w:r>
      <w:r w:rsidR="00606599" w:rsidRPr="00A9433D">
        <w:t>созданию модельных муниципальных библиотек</w:t>
      </w:r>
      <w:r w:rsidR="00D926D6" w:rsidRPr="00A9433D">
        <w:t>,</w:t>
      </w:r>
      <w:r w:rsidR="008A712F" w:rsidRPr="00A9433D">
        <w:t xml:space="preserve"> рассчитывается в пределах объема бюджетных ассигнований областного бюджета, предусматриваемого Министерству на очередной финансовый год, с </w:t>
      </w:r>
      <w:r w:rsidR="00571C4D" w:rsidRPr="00A9433D">
        <w:t xml:space="preserve">учетом </w:t>
      </w:r>
      <w:r w:rsidR="00571C4D" w:rsidRPr="00A9433D">
        <w:rPr>
          <w:bCs/>
        </w:rPr>
        <w:t xml:space="preserve">уровня </w:t>
      </w:r>
      <w:proofErr w:type="spellStart"/>
      <w:r w:rsidR="00571C4D" w:rsidRPr="00A9433D">
        <w:rPr>
          <w:bCs/>
        </w:rPr>
        <w:t>софинансирования</w:t>
      </w:r>
      <w:proofErr w:type="spellEnd"/>
      <w:r w:rsidR="00571C4D" w:rsidRPr="00A9433D">
        <w:rPr>
          <w:bCs/>
        </w:rPr>
        <w:t xml:space="preserve"> Новосибирской областью объема расходных обязательств муниципальных образований Новосибирской област</w:t>
      </w:r>
      <w:r w:rsidR="006B35F6" w:rsidRPr="00A9433D">
        <w:rPr>
          <w:bCs/>
        </w:rPr>
        <w:t>и</w:t>
      </w:r>
      <w:r w:rsidR="00571C4D" w:rsidRPr="00A9433D">
        <w:rPr>
          <w:bCs/>
        </w:rPr>
        <w:t xml:space="preserve"> равного предельному уровню </w:t>
      </w:r>
      <w:proofErr w:type="spellStart"/>
      <w:r w:rsidR="00571C4D" w:rsidRPr="00A9433D">
        <w:rPr>
          <w:bCs/>
        </w:rPr>
        <w:t>софинансирования</w:t>
      </w:r>
      <w:proofErr w:type="spellEnd"/>
      <w:r w:rsidR="00571C4D" w:rsidRPr="00A9433D">
        <w:rPr>
          <w:bCs/>
        </w:rPr>
        <w:t xml:space="preserve"> Новосибирской областью объема расходных обязательств муниципальных образований Новосибирской области (далее - предельный уровень </w:t>
      </w:r>
      <w:proofErr w:type="spellStart"/>
      <w:r w:rsidR="00571C4D" w:rsidRPr="00A9433D">
        <w:rPr>
          <w:bCs/>
        </w:rPr>
        <w:t>софинансирования</w:t>
      </w:r>
      <w:proofErr w:type="spellEnd"/>
      <w:r w:rsidR="00571C4D" w:rsidRPr="00A9433D">
        <w:rPr>
          <w:bCs/>
        </w:rPr>
        <w:t>), предусматриваемому</w:t>
      </w:r>
      <w:r w:rsidR="00571C4D" w:rsidRPr="00A9433D">
        <w:t xml:space="preserve"> распоряжением Правительства Новосибирской области </w:t>
      </w:r>
      <w:r w:rsidR="00571C4D" w:rsidRPr="00A9433D">
        <w:rPr>
          <w:bCs/>
        </w:rPr>
        <w:t xml:space="preserve">об установлении предельных уровней </w:t>
      </w:r>
      <w:proofErr w:type="spellStart"/>
      <w:r w:rsidR="00571C4D" w:rsidRPr="00A9433D">
        <w:rPr>
          <w:bCs/>
        </w:rPr>
        <w:t>софинансирования</w:t>
      </w:r>
      <w:proofErr w:type="spellEnd"/>
      <w:r w:rsidR="00571C4D" w:rsidRPr="00A9433D">
        <w:t xml:space="preserve"> на очередной финансовый год и плановый период</w:t>
      </w:r>
      <w:r w:rsidR="005915C8" w:rsidRPr="00A9433D">
        <w:t>, по формуле:</w:t>
      </w:r>
    </w:p>
    <w:p w:rsidR="005915C8" w:rsidRPr="00A9433D" w:rsidRDefault="005915C8" w:rsidP="005915C8">
      <w:pPr>
        <w:pStyle w:val="a3"/>
      </w:pPr>
    </w:p>
    <w:p w:rsidR="005915C8" w:rsidRPr="00A9433D" w:rsidRDefault="005915C8" w:rsidP="005915C8">
      <w:pPr>
        <w:pStyle w:val="a3"/>
        <w:jc w:val="center"/>
      </w:pPr>
      <w:r w:rsidRPr="00A9433D">
        <w:rPr>
          <w:rFonts w:eastAsia="Calibri" w:cs="Times New Roman"/>
          <w:noProof/>
          <w:position w:val="-32"/>
          <w:sz w:val="24"/>
          <w:szCs w:val="22"/>
          <w:lang w:eastAsia="ru-RU"/>
        </w:rPr>
        <w:drawing>
          <wp:inline distT="0" distB="0" distL="0" distR="0" wp14:anchorId="3FB13577" wp14:editId="0C5CEBCE">
            <wp:extent cx="2552700" cy="53340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33D">
        <w:t xml:space="preserve"> где:</w:t>
      </w:r>
    </w:p>
    <w:p w:rsidR="005915C8" w:rsidRPr="00A9433D" w:rsidRDefault="005915C8" w:rsidP="005915C8">
      <w:pPr>
        <w:pStyle w:val="a3"/>
      </w:pPr>
      <w:r w:rsidRPr="00A9433D">
        <w:lastRenderedPageBreak/>
        <w:t>S – общий объем бюджетных ассигнований, предусмотренных в областном бюджете на предоставление субсидий на соответствующий финансовый год;</w:t>
      </w:r>
    </w:p>
    <w:p w:rsidR="005915C8" w:rsidRPr="00A9433D" w:rsidRDefault="005915C8" w:rsidP="005915C8">
      <w:pPr>
        <w:pStyle w:val="a3"/>
      </w:pPr>
      <w:proofErr w:type="spellStart"/>
      <w:r w:rsidRPr="00A9433D">
        <w:t>Yi</w:t>
      </w:r>
      <w:proofErr w:type="spellEnd"/>
      <w:r w:rsidRPr="00A9433D">
        <w:t xml:space="preserve"> – предельный уровень </w:t>
      </w:r>
      <w:proofErr w:type="spellStart"/>
      <w:r w:rsidRPr="00A9433D">
        <w:t>софинансирования</w:t>
      </w:r>
      <w:proofErr w:type="spellEnd"/>
      <w:r w:rsidRPr="00A9433D">
        <w:t xml:space="preserve"> для i-</w:t>
      </w:r>
      <w:proofErr w:type="spellStart"/>
      <w:r w:rsidRPr="00A9433D">
        <w:t>го</w:t>
      </w:r>
      <w:proofErr w:type="spellEnd"/>
      <w:r w:rsidRPr="00A9433D">
        <w:t xml:space="preserve"> муниципального образования, утверждаемый распоряжением Правительства Новосибирской области на очередной финансовый год и плановый период;</w:t>
      </w:r>
    </w:p>
    <w:p w:rsidR="005915C8" w:rsidRPr="00A9433D" w:rsidRDefault="005915C8" w:rsidP="005915C8">
      <w:pPr>
        <w:pStyle w:val="a3"/>
      </w:pPr>
      <w:proofErr w:type="spellStart"/>
      <w:r w:rsidRPr="00A9433D">
        <w:t>Bs</w:t>
      </w:r>
      <w:proofErr w:type="spellEnd"/>
      <w:r w:rsidRPr="00A9433D">
        <w:t xml:space="preserve"> – потребность малой библиотеки при создании модельной муниципальной библиотеки в бюджетных ассигнованиях федерального бюджета в размере 8 млн. рублей;</w:t>
      </w:r>
    </w:p>
    <w:p w:rsidR="005915C8" w:rsidRPr="00A9433D" w:rsidRDefault="005915C8" w:rsidP="005915C8">
      <w:pPr>
        <w:pStyle w:val="a3"/>
      </w:pPr>
      <w:proofErr w:type="spellStart"/>
      <w:r w:rsidRPr="00A9433D">
        <w:t>Bc</w:t>
      </w:r>
      <w:proofErr w:type="spellEnd"/>
      <w:r w:rsidRPr="00A9433D">
        <w:t xml:space="preserve"> – потребность центральной библиотеки при создании модельной муниципальной библиотеки в бюджетных ассигнованиях федерального бюджета в размере 15 млн. рублей;</w:t>
      </w:r>
    </w:p>
    <w:p w:rsidR="005915C8" w:rsidRPr="00A9433D" w:rsidRDefault="005915C8" w:rsidP="005915C8">
      <w:pPr>
        <w:pStyle w:val="a3"/>
      </w:pPr>
      <w:proofErr w:type="spellStart"/>
      <w:r w:rsidRPr="00A9433D">
        <w:t>nS</w:t>
      </w:r>
      <w:proofErr w:type="spellEnd"/>
      <w:r w:rsidRPr="00A9433D">
        <w:t xml:space="preserve"> – количество малых библиотек муниципального образования, признанных библиотеками-победителями;</w:t>
      </w:r>
    </w:p>
    <w:p w:rsidR="005915C8" w:rsidRPr="00A9433D" w:rsidRDefault="005915C8" w:rsidP="005915C8">
      <w:pPr>
        <w:pStyle w:val="a3"/>
      </w:pPr>
      <w:proofErr w:type="spellStart"/>
      <w:r w:rsidRPr="00A9433D">
        <w:t>nC</w:t>
      </w:r>
      <w:proofErr w:type="spellEnd"/>
      <w:r w:rsidRPr="00A9433D">
        <w:t xml:space="preserve"> – количество центральных библиотек муниципального образования, признанных библиотеками-победителями.</w:t>
      </w:r>
    </w:p>
    <w:p w:rsidR="006A0914" w:rsidRPr="00A9433D" w:rsidRDefault="00DE03FA" w:rsidP="00E36C90">
      <w:pPr>
        <w:pStyle w:val="a3"/>
      </w:pPr>
      <w:r w:rsidRPr="00A9433D">
        <w:t xml:space="preserve">При предоставлении бюджету муниципального </w:t>
      </w:r>
      <w:r w:rsidR="00237614" w:rsidRPr="00A9433D">
        <w:t xml:space="preserve">района </w:t>
      </w:r>
      <w:r w:rsidRPr="00A9433D">
        <w:t xml:space="preserve">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</w:t>
      </w:r>
      <w:r w:rsidR="00053087" w:rsidRPr="00A9433D">
        <w:t>межбюджетных трансфертов</w:t>
      </w:r>
      <w:r w:rsidRPr="00A9433D">
        <w:t xml:space="preserve"> в бюджеты поселений за счет средств указанных субсидий, в соглашениях о предоставлении субсидий в бюджет муниципального</w:t>
      </w:r>
      <w:r w:rsidR="00237614" w:rsidRPr="00A9433D">
        <w:t xml:space="preserve"> района</w:t>
      </w:r>
      <w:r w:rsidRPr="00A9433D">
        <w:t xml:space="preserve"> устанавливаются предельные уровни </w:t>
      </w:r>
      <w:proofErr w:type="spellStart"/>
      <w:r w:rsidRPr="00A9433D">
        <w:t>софинансирования</w:t>
      </w:r>
      <w:proofErr w:type="spellEnd"/>
      <w:r w:rsidRPr="00A9433D"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A9433D">
        <w:t>софинансирования</w:t>
      </w:r>
      <w:proofErr w:type="spellEnd"/>
      <w:r w:rsidRPr="00A9433D">
        <w:t xml:space="preserve"> для бюджета муниципального </w:t>
      </w:r>
      <w:r w:rsidR="00C35DAB" w:rsidRPr="00A9433D">
        <w:t>образования</w:t>
      </w:r>
      <w:r w:rsidRPr="00A9433D">
        <w:t>.</w:t>
      </w:r>
    </w:p>
    <w:p w:rsidR="006A0914" w:rsidRPr="00A9433D" w:rsidRDefault="006A0914" w:rsidP="00E36C90">
      <w:pPr>
        <w:pStyle w:val="a3"/>
      </w:pPr>
    </w:p>
    <w:p w:rsidR="00AE3328" w:rsidRPr="00606599" w:rsidRDefault="00AE3328" w:rsidP="00284535">
      <w:pPr>
        <w:pStyle w:val="a3"/>
        <w:jc w:val="center"/>
      </w:pPr>
      <w:r w:rsidRPr="00606599">
        <w:t>IV. Порядок предоставления и использования субсидий</w:t>
      </w:r>
    </w:p>
    <w:p w:rsidR="00AE3328" w:rsidRPr="00606599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533F2F" w:rsidRDefault="008F1007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E3328" w:rsidRPr="00533F2F">
        <w:rPr>
          <w:rFonts w:ascii="Times New Roman" w:hAnsi="Times New Roman" w:cs="Times New Roman"/>
          <w:sz w:val="28"/>
          <w:szCs w:val="28"/>
        </w:rPr>
        <w:t>. Субсидии предоставляются местным бюджетам на основании соглашения о предоставлении субсидий, заключенного между Министерством и муниципальным обр</w:t>
      </w:r>
      <w:r w:rsidR="00F90CAC" w:rsidRPr="00533F2F">
        <w:rPr>
          <w:rFonts w:ascii="Times New Roman" w:hAnsi="Times New Roman" w:cs="Times New Roman"/>
          <w:sz w:val="28"/>
          <w:szCs w:val="28"/>
        </w:rPr>
        <w:t>азованием (далее</w:t>
      </w:r>
      <w:r w:rsidR="00C35DAB" w:rsidRPr="00533F2F">
        <w:rPr>
          <w:rFonts w:ascii="Times New Roman" w:hAnsi="Times New Roman" w:cs="Times New Roman"/>
          <w:sz w:val="28"/>
          <w:szCs w:val="28"/>
        </w:rPr>
        <w:t> </w:t>
      </w:r>
      <w:r w:rsidR="00C35DAB" w:rsidRPr="00533F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0CAC" w:rsidRPr="00533F2F">
        <w:rPr>
          <w:rFonts w:ascii="Times New Roman" w:hAnsi="Times New Roman" w:cs="Times New Roman"/>
          <w:sz w:val="28"/>
          <w:szCs w:val="28"/>
        </w:rPr>
        <w:t xml:space="preserve"> Соглашение).</w:t>
      </w:r>
    </w:p>
    <w:p w:rsidR="00AE3328" w:rsidRPr="00533F2F" w:rsidRDefault="008F1007" w:rsidP="00E36C90">
      <w:pPr>
        <w:pStyle w:val="a3"/>
      </w:pPr>
      <w:r>
        <w:t>10</w:t>
      </w:r>
      <w:r w:rsidR="003D7605" w:rsidRPr="00533F2F">
        <w:t xml:space="preserve">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</w:t>
      </w:r>
      <w:r w:rsidR="00533F2F" w:rsidRPr="00533F2F">
        <w:t xml:space="preserve">по </w:t>
      </w:r>
      <w:r w:rsidR="00533F2F" w:rsidRPr="00533F2F">
        <w:rPr>
          <w:bCs/>
        </w:rPr>
        <w:t>созданию модельных муниципальных библиотек</w:t>
      </w:r>
      <w:r w:rsidR="00E36C90" w:rsidRPr="00533F2F">
        <w:t>,</w:t>
      </w:r>
      <w:r w:rsidR="003D7605" w:rsidRPr="00533F2F">
        <w:t xml:space="preserve">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Министерству, на соответствующий финансовый год.</w:t>
      </w:r>
    </w:p>
    <w:p w:rsidR="00A5358D" w:rsidRPr="004360B5" w:rsidRDefault="00493D50" w:rsidP="00E36C90">
      <w:pPr>
        <w:pStyle w:val="a3"/>
      </w:pPr>
      <w:r w:rsidRPr="004360B5">
        <w:t>1</w:t>
      </w:r>
      <w:r w:rsidR="008F1007">
        <w:t>1</w:t>
      </w:r>
      <w:r w:rsidRPr="004360B5">
        <w:t>. Субсидии расходуются местными бюджетами при выполнении следующих условий:</w:t>
      </w:r>
    </w:p>
    <w:p w:rsidR="00A5358D" w:rsidRPr="004360B5" w:rsidRDefault="002E37CE" w:rsidP="00E36C90">
      <w:pPr>
        <w:pStyle w:val="a3"/>
      </w:pPr>
      <w:r w:rsidRPr="004360B5">
        <w:t xml:space="preserve">1) соблюдение условий Соглашения о финансировании работ по </w:t>
      </w:r>
      <w:r w:rsidR="00606599" w:rsidRPr="004360B5">
        <w:t>созданию модельных муниципальных библиотек</w:t>
      </w:r>
      <w:r w:rsidR="00ED4356" w:rsidRPr="004360B5">
        <w:t>,</w:t>
      </w:r>
      <w:r w:rsidRPr="004360B5">
        <w:t xml:space="preserve"> в рамках реализации мероприятий государственной программы, заключенных с Министерством;</w:t>
      </w:r>
    </w:p>
    <w:p w:rsidR="004360B5" w:rsidRPr="004360B5" w:rsidRDefault="004360B5" w:rsidP="004360B5">
      <w:pPr>
        <w:pStyle w:val="a3"/>
      </w:pPr>
      <w:r w:rsidRPr="004360B5">
        <w:t>2) при создании модельных библиотек:</w:t>
      </w:r>
    </w:p>
    <w:p w:rsidR="004360B5" w:rsidRPr="004360B5" w:rsidRDefault="004360B5" w:rsidP="004360B5">
      <w:pPr>
        <w:pStyle w:val="a3"/>
      </w:pPr>
      <w:r w:rsidRPr="004360B5">
        <w:t xml:space="preserve">а) из областного бюджета </w:t>
      </w:r>
      <w:proofErr w:type="spellStart"/>
      <w:r w:rsidRPr="004360B5">
        <w:t>софинансируются</w:t>
      </w:r>
      <w:proofErr w:type="spellEnd"/>
      <w:r w:rsidRPr="004360B5">
        <w:t>:</w:t>
      </w:r>
    </w:p>
    <w:p w:rsidR="004360B5" w:rsidRPr="004360B5" w:rsidRDefault="004360B5" w:rsidP="004360B5">
      <w:pPr>
        <w:pStyle w:val="a3"/>
      </w:pPr>
      <w:r w:rsidRPr="004360B5">
        <w:lastRenderedPageBreak/>
        <w:t>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работ, необходимых для реализации проекта, а также приспособление внутреннего пространства библиотеки к потребностям пользователей, включая создание условий для библиотечно-информационного обслуживания лиц с ограниченными возможностями здоровья);</w:t>
      </w:r>
    </w:p>
    <w:p w:rsidR="004360B5" w:rsidRPr="004360B5" w:rsidRDefault="004360B5" w:rsidP="004360B5">
      <w:pPr>
        <w:pStyle w:val="a3"/>
      </w:pPr>
      <w:r w:rsidRPr="004360B5">
        <w:t>внедрение информационных систем в работу муниципальной библиотеки с пользователями, а также обеспечение возможности предоставления пользователям современных централизованных библиотечно-информационных сервисов;</w:t>
      </w:r>
    </w:p>
    <w:p w:rsidR="004360B5" w:rsidRPr="004360B5" w:rsidRDefault="004360B5" w:rsidP="004360B5">
      <w:pPr>
        <w:pStyle w:val="a3"/>
      </w:pPr>
      <w:r w:rsidRPr="004360B5">
        <w:t>оснащение муниципальных библиотек необходимым оборудованием для обеспечения высокоскоростного широкополосного доступа к сети «Интернет», в том числе для посетителей;</w:t>
      </w:r>
    </w:p>
    <w:p w:rsidR="004360B5" w:rsidRPr="004360B5" w:rsidRDefault="004360B5" w:rsidP="004360B5">
      <w:pPr>
        <w:pStyle w:val="a3"/>
      </w:pPr>
      <w:r w:rsidRPr="004360B5">
        <w:t>обеспечение доступа к отечественным информационным ресурсам научного и художественного содержания, оцифрованным ресурсам периодической печати;</w:t>
      </w:r>
    </w:p>
    <w:p w:rsidR="004360B5" w:rsidRPr="004360B5" w:rsidRDefault="004360B5" w:rsidP="004360B5">
      <w:pPr>
        <w:pStyle w:val="a3"/>
      </w:pPr>
      <w:r w:rsidRPr="004360B5">
        <w:t>создание точки доступа к федеральной государственной информационной системе «Национальная электронная библиотека»;</w:t>
      </w:r>
    </w:p>
    <w:p w:rsidR="004360B5" w:rsidRPr="004360B5" w:rsidRDefault="004360B5" w:rsidP="004360B5">
      <w:pPr>
        <w:pStyle w:val="a3"/>
      </w:pPr>
      <w:r w:rsidRPr="004360B5">
        <w:t>приобретение необходимого оборудования для обеспечения доступа к информационным ресурсам;</w:t>
      </w:r>
    </w:p>
    <w:p w:rsidR="004360B5" w:rsidRPr="004360B5" w:rsidRDefault="004360B5" w:rsidP="004360B5">
      <w:pPr>
        <w:pStyle w:val="a3"/>
      </w:pPr>
      <w:r w:rsidRPr="004360B5">
        <w:t>обеспечение профессиональной переподготовки и повышения квалификации основного персонала муниципальной библиотеки, включая оплату образовательных услуг, проезд и проживание основного персонала для прохождения обучения;</w:t>
      </w:r>
    </w:p>
    <w:p w:rsidR="004360B5" w:rsidRPr="004360B5" w:rsidRDefault="004360B5" w:rsidP="004360B5">
      <w:pPr>
        <w:pStyle w:val="a3"/>
      </w:pPr>
      <w:r w:rsidRPr="004360B5">
        <w:t>б) за счет средств местного бюджета осуществляется финансовое обеспечение:</w:t>
      </w:r>
    </w:p>
    <w:p w:rsidR="004360B5" w:rsidRPr="004360B5" w:rsidRDefault="004360B5" w:rsidP="004360B5">
      <w:pPr>
        <w:pStyle w:val="a3"/>
      </w:pPr>
      <w:r w:rsidRPr="004360B5">
        <w:t>обеспечение канала муниципальной библиотеки для высокоскоростного широкополосного доступа к сети «Интернет»;</w:t>
      </w:r>
    </w:p>
    <w:p w:rsidR="004360B5" w:rsidRPr="004360B5" w:rsidRDefault="004360B5" w:rsidP="004360B5">
      <w:pPr>
        <w:pStyle w:val="a3"/>
      </w:pPr>
      <w:r w:rsidRPr="004360B5">
        <w:t>проведение капитального ремонта или реконструкции зданий и (или) помещений;</w:t>
      </w:r>
    </w:p>
    <w:p w:rsidR="00DE3416" w:rsidRPr="004360B5" w:rsidRDefault="004360B5" w:rsidP="00E36C90">
      <w:pPr>
        <w:pStyle w:val="a3"/>
      </w:pPr>
      <w:r w:rsidRPr="004360B5">
        <w:t>3</w:t>
      </w:r>
      <w:r w:rsidR="00916CFD" w:rsidRPr="004360B5">
        <w:t>)</w:t>
      </w:r>
      <w:r w:rsidR="00051504" w:rsidRPr="004360B5">
        <w:t> </w:t>
      </w:r>
      <w:r w:rsidR="00916CFD" w:rsidRPr="004360B5">
        <w:t>с</w:t>
      </w:r>
      <w:r w:rsidR="002E1DB9" w:rsidRPr="004360B5">
        <w:t xml:space="preserve">редства </w:t>
      </w:r>
      <w:r w:rsidR="00304AE8" w:rsidRPr="004360B5">
        <w:t>с</w:t>
      </w:r>
      <w:r w:rsidR="002E1DB9" w:rsidRPr="004360B5">
        <w:t>убсиди</w:t>
      </w:r>
      <w:r w:rsidR="000458F2" w:rsidRPr="004360B5">
        <w:t>й</w:t>
      </w:r>
      <w:r w:rsidR="002E1DB9" w:rsidRPr="004360B5">
        <w:t xml:space="preserve"> могут быть направлены на:</w:t>
      </w:r>
    </w:p>
    <w:p w:rsidR="002E1DB9" w:rsidRPr="004360B5" w:rsidRDefault="00C040C2" w:rsidP="00E36C90">
      <w:pPr>
        <w:pStyle w:val="a3"/>
      </w:pPr>
      <w:r w:rsidRPr="004360B5"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4360B5">
        <w:t>с</w:t>
      </w:r>
      <w:r w:rsidRPr="004360B5">
        <w:t>убсидии с заключением соответствующих соглашений;</w:t>
      </w:r>
    </w:p>
    <w:p w:rsidR="002E1DB9" w:rsidRPr="004360B5" w:rsidRDefault="00C040C2" w:rsidP="00E36C90">
      <w:pPr>
        <w:pStyle w:val="a3"/>
      </w:pPr>
      <w:r w:rsidRPr="004360B5"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4360B5">
        <w:t>с</w:t>
      </w:r>
      <w:r w:rsidRPr="004360B5">
        <w:t>убсидии с заключе</w:t>
      </w:r>
      <w:r w:rsidR="00F74B66" w:rsidRPr="004360B5">
        <w:t>нием соответствующих соглашений.</w:t>
      </w:r>
    </w:p>
    <w:p w:rsidR="0000209A" w:rsidRPr="00EB0C39" w:rsidRDefault="008B4570" w:rsidP="00E36C90">
      <w:pPr>
        <w:pStyle w:val="a3"/>
      </w:pPr>
      <w:r w:rsidRPr="00EB0C39">
        <w:t>1</w:t>
      </w:r>
      <w:r w:rsidR="008F1007">
        <w:t>2</w:t>
      </w:r>
      <w:r w:rsidRPr="00EB0C39">
        <w:t>. </w:t>
      </w:r>
      <w:r w:rsidR="0000209A" w:rsidRPr="00EB0C39">
        <w:t>Требования к представлению отчетности. Муниципальные образования – получатели субсидий на реализацию мероприятий государственной программы на цел</w:t>
      </w:r>
      <w:r w:rsidR="008B70CC" w:rsidRPr="00EB0C39">
        <w:t>ь</w:t>
      </w:r>
      <w:r w:rsidR="0000209A" w:rsidRPr="00EB0C39">
        <w:t>, указанн</w:t>
      </w:r>
      <w:r w:rsidR="008B70CC" w:rsidRPr="00EB0C39">
        <w:t>ую</w:t>
      </w:r>
      <w:r w:rsidR="0000209A" w:rsidRPr="00EB0C39">
        <w:t xml:space="preserve"> в пункте 2 порядка, представляют в Министерство по формам, предусмотренным Соглашением</w:t>
      </w:r>
      <w:r w:rsidR="008B70CC" w:rsidRPr="00EB0C39">
        <w:t>:</w:t>
      </w:r>
    </w:p>
    <w:p w:rsidR="0000209A" w:rsidRPr="00EB0C39" w:rsidRDefault="0000209A" w:rsidP="00E36C90">
      <w:pPr>
        <w:pStyle w:val="a3"/>
      </w:pPr>
      <w:r w:rsidRPr="00EB0C39">
        <w:t>1) отчет</w:t>
      </w:r>
      <w:r w:rsidR="009627C6" w:rsidRPr="00EB0C39">
        <w:t>ы</w:t>
      </w:r>
      <w:r w:rsidRPr="00EB0C39">
        <w:t xml:space="preserve"> о расходовании субсидии ежеквартально </w:t>
      </w:r>
      <w:r w:rsidR="008B70CC" w:rsidRPr="00EB0C39">
        <w:t xml:space="preserve">в пределах финансового года </w:t>
      </w:r>
      <w:r w:rsidRPr="00EB0C39">
        <w:t xml:space="preserve">не позднее 5 числа месяца, следующего за отчетным кварталом, в котором </w:t>
      </w:r>
      <w:r w:rsidRPr="00EB0C39">
        <w:lastRenderedPageBreak/>
        <w:t xml:space="preserve">была получена субсидия, </w:t>
      </w:r>
      <w:r w:rsidR="00A551FB" w:rsidRPr="00EB0C39">
        <w:t>и по итогам отчетного финан</w:t>
      </w:r>
      <w:r w:rsidR="009627C6" w:rsidRPr="00EB0C39">
        <w:t>сового года в срок</w:t>
      </w:r>
      <w:r w:rsidRPr="00EB0C39">
        <w:t xml:space="preserve"> до 15 января </w:t>
      </w:r>
      <w:r w:rsidR="009627C6" w:rsidRPr="00EB0C39">
        <w:t>текущего финансового года</w:t>
      </w:r>
      <w:r w:rsidRPr="00EB0C39">
        <w:t>;</w:t>
      </w:r>
    </w:p>
    <w:p w:rsidR="00320947" w:rsidRPr="00EB0C39" w:rsidRDefault="0000209A" w:rsidP="00E36C90">
      <w:pPr>
        <w:pStyle w:val="a3"/>
      </w:pPr>
      <w:r w:rsidRPr="00EB0C39">
        <w:t xml:space="preserve">2) отчет о достижении показателей результата использования субсидии (далее – отчет о результатах) </w:t>
      </w:r>
      <w:r w:rsidR="008B70CC" w:rsidRPr="00EB0C39">
        <w:t>по итогам отчетного финансового года в срок до 15 января текущего финансового года</w:t>
      </w:r>
      <w:r w:rsidRPr="00EB0C39">
        <w:t>.</w:t>
      </w:r>
    </w:p>
    <w:p w:rsidR="008B70CC" w:rsidRPr="00EB0C39" w:rsidRDefault="008B70CC" w:rsidP="00E36C90">
      <w:pPr>
        <w:pStyle w:val="a3"/>
      </w:pPr>
      <w:r w:rsidRPr="00EB0C39">
        <w:t>В случае если Соглашение заключено в государственной интегрированной информационной системе управления общественными финансами «Электронный бюджет» муниципальное образование размещает отчеты, указанные в настоящем пункте, в государственной интегрированной информационной системе управления общественными финансами «Электронный бюджет» в сроки, установленные Соглашением.</w:t>
      </w:r>
    </w:p>
    <w:p w:rsidR="008B4570" w:rsidRPr="00EB0C39" w:rsidRDefault="00571C4D" w:rsidP="00E36C90">
      <w:pPr>
        <w:pStyle w:val="a3"/>
      </w:pPr>
      <w:r w:rsidRPr="00EB0C39">
        <w:t>1</w:t>
      </w:r>
      <w:r w:rsidR="008F1007">
        <w:t>3</w:t>
      </w:r>
      <w:r w:rsidR="008B4570" w:rsidRPr="00EB0C39">
        <w:t xml:space="preserve">. 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</w:t>
      </w:r>
      <w:r w:rsidR="000458F2" w:rsidRPr="00EB0C39">
        <w:t>С</w:t>
      </w:r>
      <w:r w:rsidR="008B4570" w:rsidRPr="00EB0C39">
        <w:t>оглашением планового значения показателя результата использования субсидии.</w:t>
      </w:r>
    </w:p>
    <w:p w:rsidR="008B4570" w:rsidRPr="001E3AFC" w:rsidRDefault="008B4570" w:rsidP="00E36C90">
      <w:pPr>
        <w:pStyle w:val="a3"/>
      </w:pPr>
      <w:r w:rsidRPr="00EB0C39">
        <w:t xml:space="preserve">Показатель результата использования субсидии, учитываемый при оценке эффективности ее использования, на цели, указанные в пункте 2 </w:t>
      </w:r>
      <w:r w:rsidR="00455BA8" w:rsidRPr="00EB0C39">
        <w:t xml:space="preserve">настоящего </w:t>
      </w:r>
      <w:r w:rsidRPr="00EB0C39">
        <w:t>порядка</w:t>
      </w:r>
      <w:r w:rsidR="000458F2" w:rsidRPr="00EB0C39">
        <w:t xml:space="preserve">, </w:t>
      </w:r>
      <w:r w:rsidR="003F3538" w:rsidRPr="003F3538">
        <w:t>–</w:t>
      </w:r>
      <w:r w:rsidR="000458F2" w:rsidRPr="003F3538">
        <w:t xml:space="preserve"> количество </w:t>
      </w:r>
      <w:r w:rsidR="00EB0C39" w:rsidRPr="003F3538">
        <w:t>переоснащен</w:t>
      </w:r>
      <w:r w:rsidR="003F3538" w:rsidRPr="003F3538">
        <w:t>н</w:t>
      </w:r>
      <w:r w:rsidR="00EB0C39" w:rsidRPr="003F3538">
        <w:t>ых муниципальных библиотек по модельному стандарту (создан</w:t>
      </w:r>
      <w:r w:rsidR="003F3538" w:rsidRPr="003F3538">
        <w:t>н</w:t>
      </w:r>
      <w:r w:rsidR="00EB0C39" w:rsidRPr="003F3538">
        <w:t>ы</w:t>
      </w:r>
      <w:r w:rsidR="003F3538" w:rsidRPr="003F3538">
        <w:t>х</w:t>
      </w:r>
      <w:r w:rsidR="00EB0C39" w:rsidRPr="003F3538">
        <w:t xml:space="preserve"> модельны</w:t>
      </w:r>
      <w:r w:rsidR="003F3538" w:rsidRPr="003F3538">
        <w:t>х</w:t>
      </w:r>
      <w:r w:rsidR="00EB0C39" w:rsidRPr="003F3538">
        <w:t xml:space="preserve"> муниципальны</w:t>
      </w:r>
      <w:r w:rsidR="003F3538" w:rsidRPr="003F3538">
        <w:t>х</w:t>
      </w:r>
      <w:r w:rsidR="00EB0C39" w:rsidRPr="003F3538">
        <w:t xml:space="preserve"> </w:t>
      </w:r>
      <w:r w:rsidR="00EB0C39" w:rsidRPr="001E3AFC">
        <w:t>библиотек)</w:t>
      </w:r>
      <w:r w:rsidR="000458F2" w:rsidRPr="001E3AFC">
        <w:t>.</w:t>
      </w:r>
    </w:p>
    <w:p w:rsidR="001F2D64" w:rsidRPr="00EB0C39" w:rsidRDefault="001F2D64" w:rsidP="00E36C90">
      <w:pPr>
        <w:pStyle w:val="a3"/>
        <w:rPr>
          <w:bCs/>
        </w:rPr>
      </w:pPr>
      <w:r w:rsidRPr="00EB0C39">
        <w:rPr>
          <w:bCs/>
        </w:rPr>
        <w:t xml:space="preserve">В случае если Соглашение заключено в рамках исполнения муниципальным образованием расходных обязательств, </w:t>
      </w:r>
      <w:proofErr w:type="spellStart"/>
      <w:r w:rsidRPr="00EB0C39">
        <w:rPr>
          <w:bCs/>
        </w:rPr>
        <w:t>софинансирование</w:t>
      </w:r>
      <w:proofErr w:type="spellEnd"/>
      <w:r w:rsidRPr="00EB0C39">
        <w:rPr>
          <w:bCs/>
        </w:rPr>
        <w:t xml:space="preserve"> которых полностью или частично обеспечивается за счет целевых межбюджетных трансфертов, предоставляемых из федерального бюджета областному бюджету, показатель результата использования субсидии, учитываемый при оценке эффективности ее использования, устанавливается в соответствии с соглашением, заключаемым между Минкультуры России и Правительством Новосибирской области о предоставлении межбюджетных трансфертов.</w:t>
      </w:r>
    </w:p>
    <w:p w:rsidR="008B4570" w:rsidRPr="004360B5" w:rsidRDefault="008B4570" w:rsidP="00E36C90">
      <w:pPr>
        <w:pStyle w:val="a3"/>
      </w:pPr>
      <w:r w:rsidRPr="0045228B">
        <w:t xml:space="preserve">Оценка эффективности использования субсидий муниципальными образованиями осуществляется Министерством по итогам отчетного финансового года – не позднее </w:t>
      </w:r>
      <w:r w:rsidR="0000209A" w:rsidRPr="0045228B">
        <w:t>25 января</w:t>
      </w:r>
      <w:r w:rsidRPr="0045228B">
        <w:t xml:space="preserve"> года, следующего за отчетным, на основании данных отчета о </w:t>
      </w:r>
      <w:r w:rsidRPr="004360B5">
        <w:t>результатах.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225A63" w:rsidRPr="00AD29B4" w:rsidRDefault="001E453C" w:rsidP="00225A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Э=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план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 х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100-100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225A63" w:rsidRPr="0045228B">
        <w:rPr>
          <w:rFonts w:ascii="Times New Roman" w:hAnsi="Times New Roman" w:cs="Times New Roman"/>
          <w:sz w:val="28"/>
          <w:szCs w:val="28"/>
        </w:rPr>
        <w:t>где</w:t>
      </w:r>
      <w:r w:rsidR="00AD29B4">
        <w:rPr>
          <w:rFonts w:ascii="Times New Roman" w:hAnsi="Times New Roman" w:cs="Times New Roman"/>
          <w:sz w:val="28"/>
          <w:szCs w:val="28"/>
        </w:rPr>
        <w:t>: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45228B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45228B" w:rsidRDefault="002A54D0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45228B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45228B" w:rsidRDefault="002A54D0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45228B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45228B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достижение показателя результата использования субсидии</w:t>
      </w:r>
      <w:r w:rsidRPr="0045228B">
        <w:rPr>
          <w:rFonts w:ascii="Times New Roman" w:hAnsi="Times New Roman" w:cs="Times New Roman"/>
          <w:sz w:val="28"/>
          <w:szCs w:val="28"/>
        </w:rPr>
        <w:t xml:space="preserve"> </w:t>
      </w: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45228B">
        <w:rPr>
          <w:rFonts w:ascii="Times New Roman" w:hAnsi="Times New Roman" w:cs="Times New Roman"/>
          <w:sz w:val="28"/>
          <w:szCs w:val="28"/>
        </w:rPr>
        <w:t>, субсидия 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45228B">
        <w:rPr>
          <w:rFonts w:ascii="Times New Roman" w:hAnsi="Times New Roman" w:cs="Times New Roman"/>
          <w:sz w:val="28"/>
          <w:szCs w:val="28"/>
        </w:rPr>
        <w:t xml:space="preserve"> субсидия использована неэффективно, в данном случае применяются меры в соответствии с пунктами 1</w:t>
      </w:r>
      <w:r w:rsidR="008F1007">
        <w:rPr>
          <w:rFonts w:ascii="Times New Roman" w:hAnsi="Times New Roman" w:cs="Times New Roman"/>
          <w:sz w:val="28"/>
          <w:szCs w:val="28"/>
        </w:rPr>
        <w:t>8</w:t>
      </w:r>
      <w:r w:rsidRPr="0045228B">
        <w:rPr>
          <w:rFonts w:ascii="Times New Roman" w:hAnsi="Times New Roman" w:cs="Times New Roman"/>
          <w:sz w:val="28"/>
          <w:szCs w:val="28"/>
        </w:rPr>
        <w:t>,</w:t>
      </w:r>
      <w:r w:rsidR="00EC7F52" w:rsidRPr="0045228B">
        <w:rPr>
          <w:rFonts w:ascii="Times New Roman" w:hAnsi="Times New Roman" w:cs="Times New Roman"/>
          <w:sz w:val="28"/>
          <w:szCs w:val="28"/>
        </w:rPr>
        <w:t xml:space="preserve"> </w:t>
      </w:r>
      <w:r w:rsidRPr="0045228B">
        <w:rPr>
          <w:rFonts w:ascii="Times New Roman" w:hAnsi="Times New Roman" w:cs="Times New Roman"/>
          <w:sz w:val="28"/>
          <w:szCs w:val="28"/>
        </w:rPr>
        <w:t>1</w:t>
      </w:r>
      <w:r w:rsidR="008F1007">
        <w:rPr>
          <w:rFonts w:ascii="Times New Roman" w:hAnsi="Times New Roman" w:cs="Times New Roman"/>
          <w:sz w:val="28"/>
          <w:szCs w:val="28"/>
        </w:rPr>
        <w:t>9</w:t>
      </w:r>
      <w:r w:rsidRPr="0045228B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5228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5228B">
        <w:rPr>
          <w:rFonts w:ascii="Times New Roman" w:hAnsi="Times New Roman" w:cs="Times New Roman"/>
          <w:sz w:val="28"/>
          <w:szCs w:val="28"/>
        </w:rPr>
        <w:t>порядка.</w:t>
      </w:r>
    </w:p>
    <w:p w:rsidR="001E453C" w:rsidRPr="0045228B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1</w:t>
      </w:r>
      <w:r w:rsidR="008F1007">
        <w:rPr>
          <w:rFonts w:ascii="Times New Roman" w:hAnsi="Times New Roman" w:cs="Times New Roman"/>
          <w:sz w:val="28"/>
          <w:szCs w:val="28"/>
        </w:rPr>
        <w:t>4</w:t>
      </w:r>
      <w:r w:rsidRPr="0045228B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452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28B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45228B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10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</w:t>
      </w:r>
      <w:r w:rsidR="009C7D28"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целевых средств), подлежат возврату в доход областного бюджета в соответствии с бюджетным законодательством Российской Федерации и Новосибирской области (далее – неиспользованные остатки целевых средств).</w:t>
      </w:r>
    </w:p>
    <w:p w:rsidR="00354EC9" w:rsidRPr="0045228B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2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45228B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1</w:t>
      </w:r>
      <w:r w:rsidR="008F1007">
        <w:rPr>
          <w:rFonts w:ascii="Times New Roman" w:hAnsi="Times New Roman" w:cs="Times New Roman"/>
          <w:sz w:val="28"/>
          <w:szCs w:val="28"/>
        </w:rPr>
        <w:t>6</w:t>
      </w:r>
      <w:r w:rsidRPr="0045228B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45228B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1</w:t>
      </w:r>
      <w:r w:rsidR="008F1007">
        <w:rPr>
          <w:rFonts w:ascii="Times New Roman" w:hAnsi="Times New Roman" w:cs="Times New Roman"/>
          <w:sz w:val="28"/>
          <w:szCs w:val="28"/>
        </w:rPr>
        <w:t>7</w:t>
      </w:r>
      <w:r w:rsidRPr="0045228B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Федерации.</w:t>
      </w:r>
    </w:p>
    <w:p w:rsidR="00385B12" w:rsidRPr="0045228B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1</w:t>
      </w:r>
      <w:r w:rsidR="008F1007">
        <w:rPr>
          <w:rFonts w:ascii="Times New Roman" w:hAnsi="Times New Roman" w:cs="Times New Roman"/>
          <w:sz w:val="28"/>
          <w:szCs w:val="28"/>
        </w:rPr>
        <w:t>8</w:t>
      </w:r>
      <w:r w:rsidRPr="0045228B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45228B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45228B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45228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45228B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8F1007">
        <w:rPr>
          <w:rFonts w:ascii="Times New Roman" w:hAnsi="Times New Roman" w:cs="Times New Roman"/>
          <w:sz w:val="28"/>
          <w:szCs w:val="28"/>
        </w:rPr>
        <w:t>3</w:t>
      </w:r>
      <w:r w:rsidRPr="0045228B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5228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5228B">
        <w:rPr>
          <w:rFonts w:ascii="Times New Roman" w:hAnsi="Times New Roman" w:cs="Times New Roman"/>
          <w:sz w:val="28"/>
          <w:szCs w:val="28"/>
        </w:rPr>
        <w:t>порядка;</w:t>
      </w:r>
    </w:p>
    <w:p w:rsidR="00385B12" w:rsidRPr="0045228B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8F1007">
        <w:rPr>
          <w:rFonts w:ascii="Times New Roman" w:hAnsi="Times New Roman" w:cs="Times New Roman"/>
          <w:sz w:val="28"/>
          <w:szCs w:val="28"/>
        </w:rPr>
        <w:t>8</w:t>
      </w:r>
      <w:r w:rsidRPr="0045228B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5228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5228B">
        <w:rPr>
          <w:rFonts w:ascii="Times New Roman" w:hAnsi="Times New Roman" w:cs="Times New Roman"/>
          <w:sz w:val="28"/>
          <w:szCs w:val="28"/>
        </w:rPr>
        <w:t xml:space="preserve">порядка уровня </w:t>
      </w:r>
      <w:proofErr w:type="spellStart"/>
      <w:r w:rsidRPr="0045228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228B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45228B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1</w:t>
      </w:r>
      <w:r w:rsidR="00E966CB">
        <w:rPr>
          <w:rFonts w:ascii="Times New Roman" w:hAnsi="Times New Roman" w:cs="Times New Roman"/>
          <w:sz w:val="28"/>
          <w:szCs w:val="28"/>
        </w:rPr>
        <w:t>9</w:t>
      </w:r>
      <w:r w:rsidRPr="0045228B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8F1007">
        <w:rPr>
          <w:rFonts w:ascii="Times New Roman" w:hAnsi="Times New Roman" w:cs="Times New Roman"/>
          <w:sz w:val="28"/>
          <w:szCs w:val="28"/>
        </w:rPr>
        <w:t>8</w:t>
      </w:r>
      <w:r w:rsidRPr="0045228B">
        <w:rPr>
          <w:rFonts w:ascii="Times New Roman" w:hAnsi="Times New Roman" w:cs="Times New Roman"/>
          <w:sz w:val="28"/>
          <w:szCs w:val="28"/>
        </w:rPr>
        <w:t xml:space="preserve"> </w:t>
      </w:r>
      <w:r w:rsidR="00455BA8" w:rsidRPr="0045228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5228B">
        <w:rPr>
          <w:rFonts w:ascii="Times New Roman" w:hAnsi="Times New Roman" w:cs="Times New Roman"/>
          <w:sz w:val="28"/>
          <w:szCs w:val="28"/>
        </w:rPr>
        <w:t>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45228B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00209A" w:rsidRPr="0045228B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45228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5228B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показателя результата использования субсидии, а также в случае несоблюдения муниципальным образованием уровня </w:t>
      </w:r>
      <w:proofErr w:type="spellStart"/>
      <w:r w:rsidRPr="0045228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5228B">
        <w:rPr>
          <w:rFonts w:ascii="Times New Roman" w:hAnsi="Times New Roman" w:cs="Times New Roman"/>
          <w:sz w:val="28"/>
          <w:szCs w:val="28"/>
        </w:rPr>
        <w:t xml:space="preserve"> расходных обязательств, субсидия подлежит возврату в областной бюджет в соответствии с пунктами 18 – 22 Правил.</w:t>
      </w:r>
    </w:p>
    <w:p w:rsidR="0000209A" w:rsidRPr="0045228B" w:rsidRDefault="0000209A" w:rsidP="000020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В случае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3C3E9C" w:rsidRPr="0045228B" w:rsidRDefault="00E966CB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C3E9C" w:rsidRPr="0045228B">
        <w:rPr>
          <w:rFonts w:ascii="Times New Roman" w:hAnsi="Times New Roman" w:cs="Times New Roman"/>
          <w:sz w:val="28"/>
          <w:szCs w:val="28"/>
        </w:rPr>
        <w:t>. Основанием для освобождения муниципальных образований от 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45228B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45228B" w:rsidRDefault="009B4867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28B">
        <w:rPr>
          <w:rFonts w:ascii="Times New Roman" w:hAnsi="Times New Roman" w:cs="Times New Roman"/>
          <w:sz w:val="28"/>
          <w:szCs w:val="28"/>
        </w:rPr>
        <w:t>2</w:t>
      </w:r>
      <w:r w:rsidR="00E966CB">
        <w:rPr>
          <w:rFonts w:ascii="Times New Roman" w:hAnsi="Times New Roman" w:cs="Times New Roman"/>
          <w:sz w:val="28"/>
          <w:szCs w:val="28"/>
        </w:rPr>
        <w:t>1</w:t>
      </w:r>
      <w:r w:rsidR="003C3E9C" w:rsidRPr="0045228B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5915C8" w:rsidRDefault="005915C8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5915C8" w:rsidRPr="005915C8" w:rsidRDefault="005915C8" w:rsidP="005915C8">
      <w:pPr>
        <w:pStyle w:val="a3"/>
        <w:jc w:val="right"/>
      </w:pPr>
      <w:r w:rsidRPr="005915C8">
        <w:lastRenderedPageBreak/>
        <w:t>Приложение</w:t>
      </w:r>
    </w:p>
    <w:p w:rsidR="00A9433D" w:rsidRDefault="005915C8" w:rsidP="005915C8">
      <w:pPr>
        <w:pStyle w:val="a3"/>
        <w:jc w:val="right"/>
      </w:pPr>
      <w:r w:rsidRPr="00A9433D">
        <w:t xml:space="preserve">к </w:t>
      </w:r>
      <w:r w:rsidR="00A9433D" w:rsidRPr="00A9433D">
        <w:t>Порядку предоставления и распределения</w:t>
      </w:r>
      <w:r w:rsidR="00A9433D">
        <w:t xml:space="preserve"> </w:t>
      </w:r>
      <w:r w:rsidR="00A9433D" w:rsidRPr="00A9433D">
        <w:t>из</w:t>
      </w:r>
    </w:p>
    <w:p w:rsidR="00A9433D" w:rsidRDefault="00A9433D" w:rsidP="005915C8">
      <w:pPr>
        <w:pStyle w:val="a3"/>
        <w:jc w:val="right"/>
      </w:pPr>
      <w:r w:rsidRPr="00A9433D">
        <w:t>областного бюджета Новосибирской области</w:t>
      </w:r>
      <w:r>
        <w:t xml:space="preserve"> </w:t>
      </w:r>
      <w:r w:rsidRPr="00A9433D">
        <w:t>бюджетам</w:t>
      </w:r>
    </w:p>
    <w:p w:rsidR="00A9433D" w:rsidRDefault="00A9433D" w:rsidP="005915C8">
      <w:pPr>
        <w:pStyle w:val="a3"/>
        <w:jc w:val="right"/>
      </w:pPr>
      <w:r w:rsidRPr="00A9433D">
        <w:t>муниципальных образований</w:t>
      </w:r>
      <w:r>
        <w:t xml:space="preserve"> </w:t>
      </w:r>
      <w:r w:rsidRPr="00A9433D">
        <w:t>Новосибирской области</w:t>
      </w:r>
    </w:p>
    <w:p w:rsidR="00A9433D" w:rsidRDefault="00A9433D" w:rsidP="005915C8">
      <w:pPr>
        <w:pStyle w:val="a3"/>
        <w:jc w:val="right"/>
      </w:pPr>
      <w:r w:rsidRPr="00A9433D">
        <w:t xml:space="preserve">субсидий </w:t>
      </w:r>
      <w:r w:rsidR="005915C8" w:rsidRPr="00A9433D">
        <w:t>на реализацию</w:t>
      </w:r>
      <w:r>
        <w:t xml:space="preserve"> </w:t>
      </w:r>
      <w:r w:rsidR="00576441">
        <w:t>м</w:t>
      </w:r>
      <w:r w:rsidR="005915C8" w:rsidRPr="005915C8">
        <w:t>ероприяти</w:t>
      </w:r>
      <w:r>
        <w:t xml:space="preserve">й </w:t>
      </w:r>
      <w:r w:rsidR="005915C8" w:rsidRPr="005915C8">
        <w:t>государственной</w:t>
      </w:r>
    </w:p>
    <w:p w:rsidR="00A9433D" w:rsidRDefault="005915C8" w:rsidP="005915C8">
      <w:pPr>
        <w:pStyle w:val="a3"/>
        <w:jc w:val="right"/>
      </w:pPr>
      <w:r w:rsidRPr="005915C8">
        <w:t>программы</w:t>
      </w:r>
      <w:r w:rsidR="00A9433D">
        <w:t xml:space="preserve"> </w:t>
      </w:r>
      <w:r w:rsidRPr="005915C8">
        <w:t>Новосибирской</w:t>
      </w:r>
      <w:r w:rsidR="00A9433D">
        <w:t xml:space="preserve"> </w:t>
      </w:r>
      <w:r w:rsidRPr="005915C8">
        <w:t>области «Культура Новосибирской</w:t>
      </w:r>
    </w:p>
    <w:p w:rsidR="005915C8" w:rsidRPr="005915C8" w:rsidRDefault="005915C8" w:rsidP="005915C8">
      <w:pPr>
        <w:pStyle w:val="a3"/>
        <w:jc w:val="right"/>
      </w:pPr>
      <w:r w:rsidRPr="005915C8">
        <w:t>области» по созданию</w:t>
      </w:r>
      <w:r w:rsidR="00A9433D">
        <w:t xml:space="preserve"> </w:t>
      </w:r>
      <w:r w:rsidRPr="005915C8">
        <w:t>модельных муниципальных библиотек</w:t>
      </w:r>
    </w:p>
    <w:p w:rsidR="005915C8" w:rsidRPr="005915C8" w:rsidRDefault="005915C8" w:rsidP="005915C8">
      <w:pPr>
        <w:pStyle w:val="a3"/>
      </w:pPr>
    </w:p>
    <w:p w:rsidR="005915C8" w:rsidRPr="005915C8" w:rsidRDefault="005915C8" w:rsidP="005915C8">
      <w:pPr>
        <w:pStyle w:val="a3"/>
        <w:jc w:val="center"/>
      </w:pPr>
      <w:bookmarkStart w:id="4" w:name="P5193"/>
      <w:bookmarkEnd w:id="4"/>
      <w:r w:rsidRPr="005915C8">
        <w:t>КРИТЕРИИ</w:t>
      </w:r>
    </w:p>
    <w:p w:rsidR="005915C8" w:rsidRPr="005915C8" w:rsidRDefault="005915C8" w:rsidP="004B4869">
      <w:pPr>
        <w:pStyle w:val="a3"/>
        <w:ind w:firstLine="0"/>
        <w:jc w:val="center"/>
      </w:pPr>
      <w:r w:rsidRPr="005915C8">
        <w:t>оценки заявок на участие в конкурсном отборе муниципальных</w:t>
      </w:r>
      <w:r w:rsidR="004B4869" w:rsidRPr="004B4869">
        <w:t xml:space="preserve"> </w:t>
      </w:r>
      <w:r w:rsidRPr="005915C8">
        <w:t>о</w:t>
      </w:r>
      <w:r w:rsidR="004B4869">
        <w:t xml:space="preserve">бразований </w:t>
      </w:r>
      <w:r w:rsidRPr="005915C8">
        <w:t xml:space="preserve">Новосибирской области </w:t>
      </w:r>
      <w:r w:rsidR="00576441">
        <w:t>на предоставление</w:t>
      </w:r>
      <w:r w:rsidRPr="005915C8">
        <w:t xml:space="preserve"> из областного</w:t>
      </w:r>
      <w:r w:rsidR="004B4869" w:rsidRPr="004B4869">
        <w:t xml:space="preserve"> </w:t>
      </w:r>
      <w:r w:rsidRPr="005915C8">
        <w:t>бюджета Новосибирской области бюджетам муниципальных</w:t>
      </w:r>
      <w:r w:rsidR="004B4869" w:rsidRPr="004B4869">
        <w:t xml:space="preserve"> </w:t>
      </w:r>
      <w:r w:rsidRPr="005915C8">
        <w:t xml:space="preserve">образований Новосибирской области </w:t>
      </w:r>
      <w:r w:rsidR="00576441">
        <w:t>субсидий</w:t>
      </w:r>
      <w:r w:rsidR="004B4869" w:rsidRPr="004B4869">
        <w:t xml:space="preserve"> </w:t>
      </w:r>
      <w:r w:rsidRPr="005915C8">
        <w:t>на создание модельных муниципальных библиотек</w:t>
      </w:r>
    </w:p>
    <w:p w:rsidR="005915C8" w:rsidRPr="005915C8" w:rsidRDefault="005915C8" w:rsidP="005915C8">
      <w:pPr>
        <w:pStyle w:val="a3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391"/>
        <w:gridCol w:w="4961"/>
      </w:tblGrid>
      <w:tr w:rsidR="005915C8" w:rsidRPr="005915C8" w:rsidTr="004B4869">
        <w:tc>
          <w:tcPr>
            <w:tcW w:w="566" w:type="dxa"/>
            <w:vAlign w:val="center"/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п/п</w:t>
            </w:r>
          </w:p>
        </w:tc>
        <w:tc>
          <w:tcPr>
            <w:tcW w:w="4391" w:type="dxa"/>
            <w:vAlign w:val="center"/>
          </w:tcPr>
          <w:p w:rsidR="005915C8" w:rsidRPr="005915C8" w:rsidRDefault="005915C8" w:rsidP="005915C8">
            <w:pPr>
              <w:pStyle w:val="a3"/>
            </w:pPr>
            <w:r w:rsidRPr="005915C8">
              <w:t>Критерий</w:t>
            </w:r>
          </w:p>
        </w:tc>
        <w:tc>
          <w:tcPr>
            <w:tcW w:w="4961" w:type="dxa"/>
            <w:vAlign w:val="center"/>
          </w:tcPr>
          <w:p w:rsidR="005915C8" w:rsidRPr="005915C8" w:rsidRDefault="005915C8" w:rsidP="005915C8">
            <w:pPr>
              <w:pStyle w:val="a3"/>
            </w:pPr>
            <w:r w:rsidRPr="005915C8">
              <w:t>Значение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1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Наличие принятого решения муниципального образования о создании модельной муниципальной библиотеки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да </w:t>
            </w:r>
            <w:r w:rsidR="00B845E8" w:rsidRPr="00B845E8">
              <w:t>–</w:t>
            </w:r>
            <w:r w:rsidR="00B845E8">
              <w:rPr>
                <w:lang w:val="en-US"/>
              </w:rPr>
              <w:t xml:space="preserve"> </w:t>
            </w:r>
            <w:r w:rsidRPr="005915C8">
              <w:t>20 баллов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2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План мероприятий («дорожная карта»)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полное описание, содержащее исчерпывающую информацию, </w:t>
            </w:r>
            <w:r w:rsidR="00B845E8" w:rsidRPr="00B845E8">
              <w:t>–</w:t>
            </w:r>
            <w:r w:rsidRPr="005915C8">
              <w:t xml:space="preserve"> 20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описание мероприятий, содержащее неполную информацию,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3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Наличие в муниципальном образовании утвержденной программы, предусматривающей мероприятия по деятельности модельных муниципальных библиотек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в программе предусмотрено финансирование расходов</w:t>
            </w:r>
            <w:r w:rsidR="00576441">
              <w:t xml:space="preserve"> </w:t>
            </w:r>
            <w:r w:rsidRPr="005915C8">
              <w:t>на ежегодное обновление фондов модельных муниципальных библиотек текущего количества единиц фондов библиотек новыми книжными и периодическими изданиями: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на 5 процентов и более </w:t>
            </w:r>
            <w:r w:rsidR="00B845E8" w:rsidRPr="00B845E8">
              <w:t>–</w:t>
            </w:r>
            <w:r w:rsidR="004B4869" w:rsidRPr="004B4869">
              <w:t xml:space="preserve"> </w:t>
            </w:r>
            <w:r w:rsidRPr="005915C8">
              <w:t>20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на 3 процента и более </w:t>
            </w:r>
            <w:r w:rsidR="00B845E8" w:rsidRPr="00B845E8">
              <w:t>–</w:t>
            </w:r>
            <w:r w:rsidR="004B4869" w:rsidRPr="004B4869">
              <w:t xml:space="preserve"> </w:t>
            </w:r>
            <w:r w:rsidRPr="005915C8">
              <w:t>15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на 2 процента и более </w:t>
            </w:r>
            <w:r w:rsidR="00B845E8" w:rsidRPr="00B845E8">
              <w:t>–</w:t>
            </w:r>
            <w:r w:rsidR="004B4869" w:rsidRPr="004B4869">
              <w:t xml:space="preserve"> </w:t>
            </w:r>
            <w:r w:rsidRPr="005915C8">
              <w:t>10 баллов;</w:t>
            </w:r>
          </w:p>
          <w:p w:rsidR="005915C8" w:rsidRPr="005915C8" w:rsidRDefault="005915C8" w:rsidP="004B4869">
            <w:pPr>
              <w:pStyle w:val="a3"/>
              <w:ind w:firstLine="0"/>
            </w:pPr>
            <w:r w:rsidRPr="005915C8">
              <w:t xml:space="preserve">менее чем на 2 процента </w:t>
            </w:r>
            <w:r w:rsidR="00B845E8" w:rsidRPr="00B845E8">
              <w:t>–</w:t>
            </w:r>
            <w:r w:rsidR="004B4869" w:rsidRPr="004B4869">
              <w:t xml:space="preserve"> </w:t>
            </w:r>
            <w:r w:rsidRPr="005915C8">
              <w:t>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4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Наличие в населенном пункте, где расположена муниципальная библиотека, образовательной организации, осуществляющей образовательную деятельность по образовательным программам </w:t>
            </w:r>
            <w:r w:rsidRPr="005915C8">
              <w:lastRenderedPageBreak/>
              <w:t>начального общего, основного общего и (или) среднего общего образования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lastRenderedPageBreak/>
              <w:t xml:space="preserve">да </w:t>
            </w:r>
            <w:r w:rsidR="00B845E8" w:rsidRPr="00B845E8">
              <w:t>–</w:t>
            </w:r>
            <w:r w:rsidRPr="005915C8">
              <w:t xml:space="preserve"> 5 баллов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5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Помещения библиотеки (не менее 50 процентов площади помещений для обслуживания посетителей) доступны для лиц с ограниченными возможностями здоровья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50 и более процентов площади </w:t>
            </w:r>
            <w:r w:rsidR="00B845E8" w:rsidRPr="00B845E8">
              <w:t>–</w:t>
            </w:r>
            <w:r w:rsidRPr="005915C8">
              <w:t xml:space="preserve"> 5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менее 50 процентов площади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6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Доступность обслуживания населения муниципальной библиотекой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ежедневный режим работы муниципальной библиотеки установлен с учетом потребностей местных жителей и интенсивности ее посещения и не полностью совпадает с часами рабочего дня основной части населения </w:t>
            </w:r>
            <w:r w:rsidR="00B845E8" w:rsidRPr="00B845E8">
              <w:t>–</w:t>
            </w:r>
            <w:r w:rsidRPr="005915C8">
              <w:t xml:space="preserve"> 10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ежедневный режим работы муниципальной библиотеки не установлен с учетом потребностей местных жителей и интенсивности ее посещения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7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Наличие не менее 2 полных ставок основного персонала (библиотекарей)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да </w:t>
            </w:r>
            <w:r w:rsidR="00B845E8" w:rsidRPr="00B845E8">
              <w:t>–</w:t>
            </w:r>
            <w:r w:rsidRPr="005915C8">
              <w:t xml:space="preserve"> 5 баллов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8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Наличие у основного персонала муниципальной библиотеки сертификатов/удостоверений о повышении квалификации и дипломов о профессиональной переподготовке за последние 5 лет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да </w:t>
            </w:r>
            <w:r w:rsidR="00B845E8" w:rsidRPr="00B845E8">
              <w:t>–</w:t>
            </w:r>
            <w:r w:rsidRPr="005915C8">
              <w:t xml:space="preserve"> 10 баллов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9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Обращение (эссе в письменной форме) руководителя муниципальной библиотеки с обоснованием необходимости участия этой муниципальной библиотеки в проекте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в эссе обоснована необходимость участия в проекте, описаны потребности населения и деятельность библиотеки согласно выявленным потребностям и потенциалу интеллектуального развития </w:t>
            </w:r>
            <w:r w:rsidR="00B845E8" w:rsidRPr="00B845E8">
              <w:t>–</w:t>
            </w:r>
            <w:r w:rsidRPr="005915C8">
              <w:t xml:space="preserve"> 10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в эссе не обоснована необходимость участия в проекте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10</w:t>
            </w:r>
          </w:p>
        </w:tc>
        <w:tc>
          <w:tcPr>
            <w:tcW w:w="4391" w:type="dxa"/>
            <w:tcBorders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Концепция модернизации муниципальной библиотеки, </w:t>
            </w:r>
            <w:r w:rsidRPr="005915C8">
              <w:lastRenderedPageBreak/>
              <w:t>претендующей на участие в проекте, включающая:</w:t>
            </w:r>
          </w:p>
          <w:p w:rsidR="005915C8" w:rsidRPr="005915C8" w:rsidRDefault="005915C8" w:rsidP="004B4869">
            <w:pPr>
              <w:pStyle w:val="a3"/>
              <w:ind w:firstLine="0"/>
            </w:pPr>
            <w:r w:rsidRPr="005915C8">
              <w:t>1) дизайн-концепцию библиотеки, состоящую из следующих</w:t>
            </w:r>
            <w:r w:rsidR="004B4869" w:rsidRPr="004B4869">
              <w:t xml:space="preserve">  </w:t>
            </w:r>
            <w:r w:rsidRPr="005915C8">
              <w:t>документов:</w:t>
            </w:r>
          </w:p>
        </w:tc>
        <w:tc>
          <w:tcPr>
            <w:tcW w:w="4961" w:type="dxa"/>
            <w:tcBorders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vMerge w:val="restart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а)</w:t>
            </w:r>
            <w:r w:rsidR="004B4869">
              <w:rPr>
                <w:lang w:val="en-US"/>
              </w:rPr>
              <w:t> </w:t>
            </w:r>
            <w:r w:rsidRPr="005915C8">
              <w:t>функциональная концепция помещений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описана каждая функциональная зона </w:t>
            </w:r>
            <w:r w:rsidR="00B845E8" w:rsidRPr="00B845E8">
              <w:t xml:space="preserve">– </w:t>
            </w:r>
            <w:r w:rsidRPr="005915C8">
              <w:t>10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 все функциональные зоны описаны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vMerge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б)</w:t>
            </w:r>
            <w:r w:rsidR="004B4869">
              <w:rPr>
                <w:lang w:val="en-US"/>
              </w:rPr>
              <w:t> </w:t>
            </w:r>
            <w:r w:rsidRPr="005915C8">
              <w:t>концепция зонирования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5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 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в)</w:t>
            </w:r>
            <w:r w:rsidR="004B4869">
              <w:rPr>
                <w:lang w:val="en-US"/>
              </w:rPr>
              <w:t> </w:t>
            </w:r>
            <w:r w:rsidRPr="005915C8">
              <w:t>план расстановки мебели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5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 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г)</w:t>
            </w:r>
            <w:r w:rsidR="004B4869">
              <w:rPr>
                <w:lang w:val="en-US"/>
              </w:rPr>
              <w:t> </w:t>
            </w:r>
            <w:r w:rsidRPr="005915C8">
              <w:t>план расстановки электрических розеток и выводов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3 балла;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 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д)</w:t>
            </w:r>
            <w:r w:rsidR="004B4869">
              <w:rPr>
                <w:lang w:val="en-US"/>
              </w:rPr>
              <w:t> </w:t>
            </w:r>
            <w:r w:rsidRPr="005915C8">
              <w:t>план расстановки светильников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2 балла;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 соответствует функциональной концепции зонирования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2A54D0">
            <w:pPr>
              <w:pStyle w:val="a3"/>
              <w:ind w:firstLine="0"/>
            </w:pPr>
            <w:r w:rsidRPr="005915C8">
              <w:t>2)</w:t>
            </w:r>
            <w:r w:rsidR="004B4869">
              <w:rPr>
                <w:lang w:val="en-US"/>
              </w:rPr>
              <w:t> </w:t>
            </w:r>
            <w:r w:rsidRPr="005915C8">
              <w:t>наличие плана мероприятий по развитию компетенций и повышению квалификации основного персонала</w:t>
            </w:r>
            <w:r w:rsidR="002A54D0">
              <w:t xml:space="preserve"> </w:t>
            </w:r>
            <w:r w:rsidRPr="005915C8">
              <w:t>(на 3 года после участия в проекте)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план мероприятий содержит программы повышения квалификации </w:t>
            </w:r>
            <w:r w:rsidR="00B845E8" w:rsidRPr="00B845E8">
              <w:t>–</w:t>
            </w:r>
            <w:r w:rsidRPr="005915C8">
              <w:t xml:space="preserve"> 15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>план мероприятий</w:t>
            </w:r>
            <w:r w:rsidR="00B845E8" w:rsidRPr="00B845E8">
              <w:t xml:space="preserve"> </w:t>
            </w:r>
            <w:r w:rsidRPr="005915C8">
              <w:t xml:space="preserve">не содержит программы повышения квалификации </w:t>
            </w:r>
            <w:r w:rsidR="00B845E8" w:rsidRPr="00B845E8">
              <w:t xml:space="preserve">– </w:t>
            </w:r>
            <w:r w:rsidRPr="005915C8">
              <w:t>7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план мероприятий отсутствует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2A54D0">
            <w:pPr>
              <w:pStyle w:val="a3"/>
              <w:ind w:firstLine="0"/>
            </w:pPr>
            <w:r w:rsidRPr="005915C8">
              <w:t>3)</w:t>
            </w:r>
            <w:r w:rsidR="004B4869">
              <w:rPr>
                <w:lang w:val="en-US"/>
              </w:rPr>
              <w:t> </w:t>
            </w:r>
            <w:r w:rsidRPr="005915C8">
              <w:t xml:space="preserve">примерный план организации и проведения культурно-просветительских, образовательных, социально значимых, в том числе краеведческих, мероприятий, совместных региональных (межрегиональных и </w:t>
            </w:r>
            <w:proofErr w:type="spellStart"/>
            <w:r w:rsidRPr="005915C8">
              <w:lastRenderedPageBreak/>
              <w:t>межпоселенческих</w:t>
            </w:r>
            <w:proofErr w:type="spellEnd"/>
            <w:r w:rsidRPr="005915C8">
              <w:t>) мероприятий</w:t>
            </w:r>
            <w:r w:rsidR="002A54D0">
              <w:t xml:space="preserve"> </w:t>
            </w:r>
            <w:r w:rsidRPr="005915C8">
              <w:t>(на следующий год после участия</w:t>
            </w:r>
            <w:r w:rsidR="002A54D0">
              <w:t xml:space="preserve"> </w:t>
            </w:r>
            <w:r w:rsidRPr="005915C8">
              <w:t>в проекте)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lastRenderedPageBreak/>
              <w:t>план составлен помесячно, основан на анализе потребностей населения</w:t>
            </w:r>
            <w:r w:rsidR="00B845E8" w:rsidRPr="00B845E8">
              <w:t xml:space="preserve"> </w:t>
            </w:r>
            <w:r w:rsidRPr="005915C8">
              <w:t xml:space="preserve">и потенциале его интеллектуального развития </w:t>
            </w:r>
            <w:r w:rsidR="00B845E8" w:rsidRPr="00B845E8">
              <w:t>–</w:t>
            </w:r>
            <w:r w:rsidRPr="005915C8">
              <w:t xml:space="preserve"> 15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>план составлен поквартально, основан на анализе потребностей населения</w:t>
            </w:r>
            <w:r w:rsidR="00B845E8" w:rsidRPr="00B845E8">
              <w:t xml:space="preserve"> </w:t>
            </w:r>
            <w:r w:rsidRPr="005915C8">
              <w:t xml:space="preserve">и потенциале его интеллектуального развития </w:t>
            </w:r>
            <w:r w:rsidR="00B845E8" w:rsidRPr="00B845E8">
              <w:t>–</w:t>
            </w:r>
            <w:r w:rsidRPr="005915C8">
              <w:t xml:space="preserve"> 10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lastRenderedPageBreak/>
              <w:t xml:space="preserve">план составлен без указания временных периодов, основан на анализе потребностей населения и потенциале его интеллектуального развития </w:t>
            </w:r>
            <w:r w:rsidR="00B845E8" w:rsidRPr="00B845E8">
              <w:t>–</w:t>
            </w:r>
            <w:r w:rsidRPr="005915C8">
              <w:t xml:space="preserve"> 5 баллов;</w:t>
            </w:r>
          </w:p>
          <w:p w:rsidR="005915C8" w:rsidRPr="005915C8" w:rsidRDefault="005915C8" w:rsidP="00B845E8">
            <w:pPr>
              <w:pStyle w:val="a3"/>
              <w:ind w:firstLine="0"/>
            </w:pPr>
            <w:r w:rsidRPr="005915C8">
              <w:t>план составлен без указания временных периодов,</w:t>
            </w:r>
            <w:r w:rsidR="00B845E8" w:rsidRPr="00B845E8">
              <w:t xml:space="preserve"> </w:t>
            </w:r>
            <w:r w:rsidRPr="005915C8">
              <w:t>не основан на анализе потребностей населения</w:t>
            </w:r>
            <w:r w:rsidR="00B845E8" w:rsidRPr="00B845E8">
              <w:t xml:space="preserve"> </w:t>
            </w:r>
            <w:r w:rsidRPr="005915C8">
              <w:t xml:space="preserve">и потенциале его интеллектуального развития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  <w:bottom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4)</w:t>
            </w:r>
            <w:r w:rsidR="004B4869">
              <w:rPr>
                <w:lang w:val="en-US"/>
              </w:rPr>
              <w:t> </w:t>
            </w:r>
            <w:r w:rsidRPr="005915C8">
              <w:t>оценку потенциального влияния созданных модельных муниципальных библиотек на развитие социокультурной инфраструктуры соответствующих территорий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представлены результаты оценки потенциального влияния деятельности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модельных муниципальных библиотек на развитие социокультурной инфраструктуры соответствующих территорий </w:t>
            </w:r>
            <w:r w:rsidR="00B845E8" w:rsidRPr="00B845E8">
              <w:t>–</w:t>
            </w:r>
            <w:r w:rsidRPr="005915C8">
              <w:t xml:space="preserve"> 15 баллов;</w:t>
            </w:r>
          </w:p>
          <w:p w:rsidR="005915C8" w:rsidRPr="005915C8" w:rsidRDefault="005915C8" w:rsidP="00B845E8">
            <w:pPr>
              <w:pStyle w:val="a3"/>
              <w:ind w:firstLine="0"/>
            </w:pPr>
            <w:r w:rsidRPr="005915C8">
              <w:t xml:space="preserve">оценка не проведена </w:t>
            </w:r>
            <w:r w:rsidR="00B845E8" w:rsidRPr="00B845E8">
              <w:t>–</w:t>
            </w:r>
            <w:r w:rsidR="00B845E8">
              <w:rPr>
                <w:lang w:val="en-US"/>
              </w:rPr>
              <w:t xml:space="preserve"> </w:t>
            </w:r>
            <w:r w:rsidRPr="005915C8">
              <w:t>0 баллов</w:t>
            </w:r>
          </w:p>
        </w:tc>
      </w:tr>
      <w:tr w:rsidR="005915C8" w:rsidRPr="005915C8" w:rsidTr="004B4869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5915C8" w:rsidRPr="005915C8" w:rsidRDefault="005915C8" w:rsidP="004B4869">
            <w:pPr>
              <w:pStyle w:val="a3"/>
              <w:jc w:val="right"/>
            </w:pPr>
          </w:p>
        </w:tc>
        <w:tc>
          <w:tcPr>
            <w:tcW w:w="4391" w:type="dxa"/>
            <w:tcBorders>
              <w:top w:val="nil"/>
            </w:tcBorders>
          </w:tcPr>
          <w:p w:rsidR="005915C8" w:rsidRPr="005915C8" w:rsidRDefault="005915C8" w:rsidP="004B4869">
            <w:pPr>
              <w:pStyle w:val="a3"/>
              <w:ind w:firstLine="0"/>
            </w:pPr>
            <w:r w:rsidRPr="005915C8">
              <w:t>5)</w:t>
            </w:r>
            <w:r w:rsidR="004B4869">
              <w:rPr>
                <w:lang w:val="en-US"/>
              </w:rPr>
              <w:t> </w:t>
            </w:r>
            <w:r w:rsidRPr="005915C8">
              <w:t xml:space="preserve">обоснование статей сметы расходов на проведение мероприятий на цель, указанную в </w:t>
            </w:r>
            <w:r w:rsidRPr="004B4869">
              <w:t>пункте 2</w:t>
            </w:r>
            <w:r w:rsidRPr="005915C8">
              <w:t xml:space="preserve"> настоящих Методики распределения и Правил предоставления</w:t>
            </w:r>
          </w:p>
        </w:tc>
        <w:tc>
          <w:tcPr>
            <w:tcW w:w="4961" w:type="dxa"/>
            <w:tcBorders>
              <w:top w:val="nil"/>
            </w:tcBorders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обосновано и полностью подтверждено </w:t>
            </w:r>
            <w:r w:rsidR="00B845E8" w:rsidRPr="00B845E8">
              <w:t>–</w:t>
            </w:r>
            <w:r w:rsidRPr="005915C8">
              <w:t xml:space="preserve"> 20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>обосновано и частично</w:t>
            </w:r>
            <w:r w:rsidR="00B845E8" w:rsidRPr="00B845E8">
              <w:t xml:space="preserve"> (</w:t>
            </w:r>
            <w:r w:rsidRPr="005915C8">
              <w:t xml:space="preserve">от 50 до 99 процентов) подтверждено </w:t>
            </w:r>
            <w:r w:rsidR="00B845E8" w:rsidRPr="00B845E8">
              <w:t>–</w:t>
            </w:r>
            <w:r w:rsidRPr="005915C8">
              <w:t xml:space="preserve"> от 10 до 19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>обосновано и частично</w:t>
            </w:r>
            <w:r w:rsidR="00B845E8" w:rsidRPr="00B845E8">
              <w:t xml:space="preserve"> </w:t>
            </w:r>
            <w:r w:rsidRPr="005915C8">
              <w:t xml:space="preserve">(от 10 до 49 процентов) подтверждено </w:t>
            </w:r>
            <w:r w:rsidR="00B845E8" w:rsidRPr="00B845E8">
              <w:t>–</w:t>
            </w:r>
            <w:r w:rsidRPr="005915C8">
              <w:t xml:space="preserve"> от 1 до 9 баллов;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4B4869">
            <w:pPr>
              <w:pStyle w:val="a3"/>
              <w:ind w:firstLine="0"/>
              <w:jc w:val="right"/>
            </w:pPr>
            <w:r w:rsidRPr="005915C8">
              <w:t>11</w:t>
            </w: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Наличие наград, поощрений, иных документов, подтверждающих участие муниципальной библиотеки в иных социально-культурных проектах, конкурсах, движениях и др.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да </w:t>
            </w:r>
            <w:r w:rsidR="00B845E8" w:rsidRPr="00B845E8">
              <w:t>–</w:t>
            </w:r>
            <w:r w:rsidRPr="005915C8">
              <w:t xml:space="preserve"> 5 баллов</w:t>
            </w:r>
          </w:p>
          <w:p w:rsidR="005915C8" w:rsidRPr="005915C8" w:rsidRDefault="005915C8" w:rsidP="00410F81">
            <w:pPr>
              <w:pStyle w:val="a3"/>
              <w:ind w:firstLine="0"/>
            </w:pPr>
            <w:r w:rsidRPr="005915C8">
              <w:t xml:space="preserve">нет </w:t>
            </w:r>
            <w:r w:rsidR="00B845E8" w:rsidRPr="00B845E8">
              <w:t>–</w:t>
            </w:r>
            <w:r w:rsidRPr="005915C8">
              <w:t xml:space="preserve"> 0 баллов</w:t>
            </w:r>
          </w:p>
        </w:tc>
      </w:tr>
      <w:tr w:rsidR="005915C8" w:rsidRPr="005915C8" w:rsidTr="004B4869">
        <w:tc>
          <w:tcPr>
            <w:tcW w:w="566" w:type="dxa"/>
          </w:tcPr>
          <w:p w:rsidR="005915C8" w:rsidRPr="005915C8" w:rsidRDefault="005915C8" w:rsidP="005915C8">
            <w:pPr>
              <w:pStyle w:val="a3"/>
            </w:pPr>
          </w:p>
        </w:tc>
        <w:tc>
          <w:tcPr>
            <w:tcW w:w="439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Максимальное количество возможных баллов</w:t>
            </w:r>
          </w:p>
        </w:tc>
        <w:tc>
          <w:tcPr>
            <w:tcW w:w="4961" w:type="dxa"/>
          </w:tcPr>
          <w:p w:rsidR="005915C8" w:rsidRPr="005915C8" w:rsidRDefault="005915C8" w:rsidP="00410F81">
            <w:pPr>
              <w:pStyle w:val="a3"/>
              <w:ind w:firstLine="0"/>
            </w:pPr>
            <w:r w:rsidRPr="005915C8">
              <w:t>200</w:t>
            </w:r>
          </w:p>
        </w:tc>
      </w:tr>
    </w:tbl>
    <w:p w:rsidR="004B4869" w:rsidRDefault="004B4869" w:rsidP="00284535">
      <w:pPr>
        <w:pStyle w:val="a3"/>
        <w:jc w:val="center"/>
      </w:pPr>
    </w:p>
    <w:p w:rsidR="00576441" w:rsidRDefault="00576441" w:rsidP="00284535">
      <w:pPr>
        <w:pStyle w:val="a3"/>
        <w:jc w:val="center"/>
      </w:pPr>
    </w:p>
    <w:p w:rsidR="00576441" w:rsidRDefault="00576441" w:rsidP="00284535">
      <w:pPr>
        <w:pStyle w:val="a3"/>
        <w:jc w:val="center"/>
      </w:pPr>
    </w:p>
    <w:p w:rsidR="007C7CA8" w:rsidRPr="001E3AFC" w:rsidRDefault="00237142" w:rsidP="00284535">
      <w:pPr>
        <w:pStyle w:val="a3"/>
        <w:jc w:val="center"/>
      </w:pPr>
      <w:r w:rsidRPr="001E3AFC">
        <w:t>___________</w:t>
      </w:r>
      <w:r w:rsidR="00827B0F" w:rsidRPr="001E3AFC">
        <w:t>».</w:t>
      </w:r>
    </w:p>
    <w:sectPr w:rsidR="007C7CA8" w:rsidRPr="001E3AFC" w:rsidSect="004B4869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24" w:rsidRDefault="004C6D24" w:rsidP="00D9558B">
      <w:pPr>
        <w:spacing w:after="0" w:line="240" w:lineRule="auto"/>
      </w:pPr>
      <w:r>
        <w:separator/>
      </w:r>
    </w:p>
  </w:endnote>
  <w:endnote w:type="continuationSeparator" w:id="0">
    <w:p w:rsidR="004C6D24" w:rsidRDefault="004C6D24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24" w:rsidRDefault="004C6D24" w:rsidP="00D9558B">
      <w:pPr>
        <w:spacing w:after="0" w:line="240" w:lineRule="auto"/>
      </w:pPr>
      <w:r>
        <w:separator/>
      </w:r>
    </w:p>
  </w:footnote>
  <w:footnote w:type="continuationSeparator" w:id="0">
    <w:p w:rsidR="004C6D24" w:rsidRDefault="004C6D24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54D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209A"/>
    <w:rsid w:val="000059DD"/>
    <w:rsid w:val="00013900"/>
    <w:rsid w:val="000200A7"/>
    <w:rsid w:val="00024DB7"/>
    <w:rsid w:val="000340A2"/>
    <w:rsid w:val="000427DC"/>
    <w:rsid w:val="00044A74"/>
    <w:rsid w:val="000458F2"/>
    <w:rsid w:val="00051504"/>
    <w:rsid w:val="00053087"/>
    <w:rsid w:val="00055419"/>
    <w:rsid w:val="000561D9"/>
    <w:rsid w:val="00060F4C"/>
    <w:rsid w:val="000629DF"/>
    <w:rsid w:val="000716C1"/>
    <w:rsid w:val="000731D7"/>
    <w:rsid w:val="000736B6"/>
    <w:rsid w:val="00073C09"/>
    <w:rsid w:val="0007426A"/>
    <w:rsid w:val="00075E23"/>
    <w:rsid w:val="000822A5"/>
    <w:rsid w:val="00092B46"/>
    <w:rsid w:val="00094DDD"/>
    <w:rsid w:val="000B0268"/>
    <w:rsid w:val="000B037C"/>
    <w:rsid w:val="000B1F63"/>
    <w:rsid w:val="000B47C9"/>
    <w:rsid w:val="000B78AB"/>
    <w:rsid w:val="000D20B5"/>
    <w:rsid w:val="000D32D4"/>
    <w:rsid w:val="000D4D5F"/>
    <w:rsid w:val="000E52E3"/>
    <w:rsid w:val="000F1162"/>
    <w:rsid w:val="000F2A2F"/>
    <w:rsid w:val="0010448A"/>
    <w:rsid w:val="0010657F"/>
    <w:rsid w:val="001140DF"/>
    <w:rsid w:val="00114D67"/>
    <w:rsid w:val="0011719C"/>
    <w:rsid w:val="00120437"/>
    <w:rsid w:val="001272E0"/>
    <w:rsid w:val="00130045"/>
    <w:rsid w:val="00135356"/>
    <w:rsid w:val="001361FA"/>
    <w:rsid w:val="00142AD2"/>
    <w:rsid w:val="001436EA"/>
    <w:rsid w:val="00144888"/>
    <w:rsid w:val="00144DEE"/>
    <w:rsid w:val="00154454"/>
    <w:rsid w:val="00175F74"/>
    <w:rsid w:val="001805CF"/>
    <w:rsid w:val="0018577D"/>
    <w:rsid w:val="00194E66"/>
    <w:rsid w:val="00196C2A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3AFC"/>
    <w:rsid w:val="001E453C"/>
    <w:rsid w:val="001F2D64"/>
    <w:rsid w:val="001F717B"/>
    <w:rsid w:val="00201267"/>
    <w:rsid w:val="00204AC9"/>
    <w:rsid w:val="00206023"/>
    <w:rsid w:val="00212BC4"/>
    <w:rsid w:val="00212F2F"/>
    <w:rsid w:val="002158DB"/>
    <w:rsid w:val="00225A63"/>
    <w:rsid w:val="00232CB1"/>
    <w:rsid w:val="00234933"/>
    <w:rsid w:val="00237142"/>
    <w:rsid w:val="00237614"/>
    <w:rsid w:val="002406A2"/>
    <w:rsid w:val="00240AF5"/>
    <w:rsid w:val="00240E73"/>
    <w:rsid w:val="00244021"/>
    <w:rsid w:val="00245C90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63A04"/>
    <w:rsid w:val="0026533E"/>
    <w:rsid w:val="00284535"/>
    <w:rsid w:val="0029650C"/>
    <w:rsid w:val="002A54D0"/>
    <w:rsid w:val="002A697F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0947"/>
    <w:rsid w:val="00321BE8"/>
    <w:rsid w:val="003227FB"/>
    <w:rsid w:val="00324121"/>
    <w:rsid w:val="00331476"/>
    <w:rsid w:val="00332038"/>
    <w:rsid w:val="0033295D"/>
    <w:rsid w:val="003336BA"/>
    <w:rsid w:val="003357E4"/>
    <w:rsid w:val="00335EB2"/>
    <w:rsid w:val="00335F56"/>
    <w:rsid w:val="00343AE4"/>
    <w:rsid w:val="003451D0"/>
    <w:rsid w:val="00352115"/>
    <w:rsid w:val="003526AA"/>
    <w:rsid w:val="00354EC9"/>
    <w:rsid w:val="003579F3"/>
    <w:rsid w:val="0037727A"/>
    <w:rsid w:val="00377902"/>
    <w:rsid w:val="00380C1C"/>
    <w:rsid w:val="00382CD8"/>
    <w:rsid w:val="00385B12"/>
    <w:rsid w:val="0039139B"/>
    <w:rsid w:val="003938C9"/>
    <w:rsid w:val="003A4452"/>
    <w:rsid w:val="003B07E3"/>
    <w:rsid w:val="003B24A9"/>
    <w:rsid w:val="003B268D"/>
    <w:rsid w:val="003B280F"/>
    <w:rsid w:val="003C3E9C"/>
    <w:rsid w:val="003D2643"/>
    <w:rsid w:val="003D7605"/>
    <w:rsid w:val="003E2B1E"/>
    <w:rsid w:val="003E4057"/>
    <w:rsid w:val="003F3538"/>
    <w:rsid w:val="00405C6F"/>
    <w:rsid w:val="00407DFF"/>
    <w:rsid w:val="00410F81"/>
    <w:rsid w:val="00417D5A"/>
    <w:rsid w:val="00426E85"/>
    <w:rsid w:val="004272DC"/>
    <w:rsid w:val="004307AA"/>
    <w:rsid w:val="00431719"/>
    <w:rsid w:val="004360B5"/>
    <w:rsid w:val="0044182C"/>
    <w:rsid w:val="00442BB4"/>
    <w:rsid w:val="00443D7B"/>
    <w:rsid w:val="00444BE8"/>
    <w:rsid w:val="00450FB1"/>
    <w:rsid w:val="004518AC"/>
    <w:rsid w:val="0045228B"/>
    <w:rsid w:val="004558E7"/>
    <w:rsid w:val="00455BA8"/>
    <w:rsid w:val="004618D2"/>
    <w:rsid w:val="004650D7"/>
    <w:rsid w:val="00465B4F"/>
    <w:rsid w:val="00466A87"/>
    <w:rsid w:val="004702B0"/>
    <w:rsid w:val="00476116"/>
    <w:rsid w:val="00492721"/>
    <w:rsid w:val="00493D50"/>
    <w:rsid w:val="004A13EA"/>
    <w:rsid w:val="004A2CE3"/>
    <w:rsid w:val="004A53DD"/>
    <w:rsid w:val="004A7122"/>
    <w:rsid w:val="004A71F3"/>
    <w:rsid w:val="004B17C1"/>
    <w:rsid w:val="004B427C"/>
    <w:rsid w:val="004B4869"/>
    <w:rsid w:val="004B7DCF"/>
    <w:rsid w:val="004C4F43"/>
    <w:rsid w:val="004C5FFB"/>
    <w:rsid w:val="004C6D24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1641C"/>
    <w:rsid w:val="00522E46"/>
    <w:rsid w:val="0052317F"/>
    <w:rsid w:val="00525AE3"/>
    <w:rsid w:val="00526ED4"/>
    <w:rsid w:val="00533F2F"/>
    <w:rsid w:val="00542E48"/>
    <w:rsid w:val="00543D25"/>
    <w:rsid w:val="005446A4"/>
    <w:rsid w:val="00554470"/>
    <w:rsid w:val="00570C45"/>
    <w:rsid w:val="00571C4D"/>
    <w:rsid w:val="00573AAA"/>
    <w:rsid w:val="00576441"/>
    <w:rsid w:val="00580E55"/>
    <w:rsid w:val="005915C8"/>
    <w:rsid w:val="00594E19"/>
    <w:rsid w:val="00595C07"/>
    <w:rsid w:val="005B1D97"/>
    <w:rsid w:val="005B5F5F"/>
    <w:rsid w:val="005C1294"/>
    <w:rsid w:val="005C1461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3E25"/>
    <w:rsid w:val="00606599"/>
    <w:rsid w:val="00606F11"/>
    <w:rsid w:val="006101BE"/>
    <w:rsid w:val="006122E5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0914"/>
    <w:rsid w:val="006A4798"/>
    <w:rsid w:val="006B0C2C"/>
    <w:rsid w:val="006B35F6"/>
    <w:rsid w:val="006C1754"/>
    <w:rsid w:val="006C22A6"/>
    <w:rsid w:val="006C508A"/>
    <w:rsid w:val="006D0B0E"/>
    <w:rsid w:val="006D0DA8"/>
    <w:rsid w:val="006D1C48"/>
    <w:rsid w:val="006D44F2"/>
    <w:rsid w:val="006D6CF6"/>
    <w:rsid w:val="006D79CF"/>
    <w:rsid w:val="006E52EE"/>
    <w:rsid w:val="006E7F5F"/>
    <w:rsid w:val="00706A59"/>
    <w:rsid w:val="00714AF1"/>
    <w:rsid w:val="007243F4"/>
    <w:rsid w:val="0072746C"/>
    <w:rsid w:val="00727BD3"/>
    <w:rsid w:val="00747D3A"/>
    <w:rsid w:val="0075492E"/>
    <w:rsid w:val="00756DF8"/>
    <w:rsid w:val="00757164"/>
    <w:rsid w:val="007578B1"/>
    <w:rsid w:val="00783844"/>
    <w:rsid w:val="00785A2B"/>
    <w:rsid w:val="00790CE2"/>
    <w:rsid w:val="00791990"/>
    <w:rsid w:val="00791FB2"/>
    <w:rsid w:val="007A60D4"/>
    <w:rsid w:val="007A7073"/>
    <w:rsid w:val="007A7FAC"/>
    <w:rsid w:val="007B46E5"/>
    <w:rsid w:val="007B47D8"/>
    <w:rsid w:val="007B6977"/>
    <w:rsid w:val="007C21D8"/>
    <w:rsid w:val="007C4567"/>
    <w:rsid w:val="007C48D8"/>
    <w:rsid w:val="007C57C2"/>
    <w:rsid w:val="007C7CA8"/>
    <w:rsid w:val="007D093E"/>
    <w:rsid w:val="007D1FA3"/>
    <w:rsid w:val="007D5AAD"/>
    <w:rsid w:val="007D6B00"/>
    <w:rsid w:val="007E684D"/>
    <w:rsid w:val="007F2E0D"/>
    <w:rsid w:val="00800211"/>
    <w:rsid w:val="00804386"/>
    <w:rsid w:val="00827754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B70CC"/>
    <w:rsid w:val="008C527C"/>
    <w:rsid w:val="008C65CC"/>
    <w:rsid w:val="008C7575"/>
    <w:rsid w:val="008D1709"/>
    <w:rsid w:val="008D3915"/>
    <w:rsid w:val="008E5111"/>
    <w:rsid w:val="008E6B1B"/>
    <w:rsid w:val="008F1007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603F0"/>
    <w:rsid w:val="009627C6"/>
    <w:rsid w:val="0096365C"/>
    <w:rsid w:val="00980AAB"/>
    <w:rsid w:val="00985474"/>
    <w:rsid w:val="00996C81"/>
    <w:rsid w:val="009B269C"/>
    <w:rsid w:val="009B4867"/>
    <w:rsid w:val="009B51BA"/>
    <w:rsid w:val="009C234A"/>
    <w:rsid w:val="009C6275"/>
    <w:rsid w:val="009C7C13"/>
    <w:rsid w:val="009C7D28"/>
    <w:rsid w:val="009D0BDE"/>
    <w:rsid w:val="009D3BBA"/>
    <w:rsid w:val="009D63E1"/>
    <w:rsid w:val="009D7731"/>
    <w:rsid w:val="009E4620"/>
    <w:rsid w:val="009F03D0"/>
    <w:rsid w:val="009F7FA0"/>
    <w:rsid w:val="00A16ACC"/>
    <w:rsid w:val="00A25A79"/>
    <w:rsid w:val="00A26480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551FB"/>
    <w:rsid w:val="00A602B1"/>
    <w:rsid w:val="00A617E6"/>
    <w:rsid w:val="00A65E59"/>
    <w:rsid w:val="00A6663E"/>
    <w:rsid w:val="00A67883"/>
    <w:rsid w:val="00A835BE"/>
    <w:rsid w:val="00A9433D"/>
    <w:rsid w:val="00A94CC4"/>
    <w:rsid w:val="00AA2921"/>
    <w:rsid w:val="00AB5652"/>
    <w:rsid w:val="00AC1BF7"/>
    <w:rsid w:val="00AC5541"/>
    <w:rsid w:val="00AC60A0"/>
    <w:rsid w:val="00AC65DE"/>
    <w:rsid w:val="00AD1D50"/>
    <w:rsid w:val="00AD2924"/>
    <w:rsid w:val="00AD29B4"/>
    <w:rsid w:val="00AE3328"/>
    <w:rsid w:val="00AE60C3"/>
    <w:rsid w:val="00AE75AD"/>
    <w:rsid w:val="00AF2E24"/>
    <w:rsid w:val="00AF6238"/>
    <w:rsid w:val="00AF7EBA"/>
    <w:rsid w:val="00B0102A"/>
    <w:rsid w:val="00B10298"/>
    <w:rsid w:val="00B12567"/>
    <w:rsid w:val="00B12D04"/>
    <w:rsid w:val="00B14815"/>
    <w:rsid w:val="00B153B9"/>
    <w:rsid w:val="00B21A56"/>
    <w:rsid w:val="00B24DC8"/>
    <w:rsid w:val="00B311A1"/>
    <w:rsid w:val="00B32C83"/>
    <w:rsid w:val="00B41781"/>
    <w:rsid w:val="00B44503"/>
    <w:rsid w:val="00B46213"/>
    <w:rsid w:val="00B54021"/>
    <w:rsid w:val="00B546A0"/>
    <w:rsid w:val="00B62AB1"/>
    <w:rsid w:val="00B64DD8"/>
    <w:rsid w:val="00B67ED5"/>
    <w:rsid w:val="00B76C78"/>
    <w:rsid w:val="00B8084E"/>
    <w:rsid w:val="00B80BE9"/>
    <w:rsid w:val="00B8336D"/>
    <w:rsid w:val="00B845E8"/>
    <w:rsid w:val="00B87537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5DAB"/>
    <w:rsid w:val="00C361A3"/>
    <w:rsid w:val="00C45CFA"/>
    <w:rsid w:val="00C46A00"/>
    <w:rsid w:val="00C601FE"/>
    <w:rsid w:val="00C612A9"/>
    <w:rsid w:val="00C66144"/>
    <w:rsid w:val="00C72B10"/>
    <w:rsid w:val="00C83ED0"/>
    <w:rsid w:val="00C852DC"/>
    <w:rsid w:val="00C85B7D"/>
    <w:rsid w:val="00C8745A"/>
    <w:rsid w:val="00CA4848"/>
    <w:rsid w:val="00CA7F2D"/>
    <w:rsid w:val="00CA7F60"/>
    <w:rsid w:val="00CB1D79"/>
    <w:rsid w:val="00CB6280"/>
    <w:rsid w:val="00CB6DDE"/>
    <w:rsid w:val="00CC52BF"/>
    <w:rsid w:val="00CC5A8E"/>
    <w:rsid w:val="00CD1237"/>
    <w:rsid w:val="00CD464D"/>
    <w:rsid w:val="00CE1F72"/>
    <w:rsid w:val="00CE531D"/>
    <w:rsid w:val="00CE5C62"/>
    <w:rsid w:val="00CE7E4C"/>
    <w:rsid w:val="00CF252D"/>
    <w:rsid w:val="00CF59EB"/>
    <w:rsid w:val="00D02AF2"/>
    <w:rsid w:val="00D040DB"/>
    <w:rsid w:val="00D054AE"/>
    <w:rsid w:val="00D1307A"/>
    <w:rsid w:val="00D13C61"/>
    <w:rsid w:val="00D16958"/>
    <w:rsid w:val="00D213B8"/>
    <w:rsid w:val="00D238BC"/>
    <w:rsid w:val="00D330AF"/>
    <w:rsid w:val="00D412C0"/>
    <w:rsid w:val="00D413B4"/>
    <w:rsid w:val="00D42CEF"/>
    <w:rsid w:val="00D52C48"/>
    <w:rsid w:val="00D578B8"/>
    <w:rsid w:val="00D57A4A"/>
    <w:rsid w:val="00D62399"/>
    <w:rsid w:val="00D657D0"/>
    <w:rsid w:val="00D67A7F"/>
    <w:rsid w:val="00D746E7"/>
    <w:rsid w:val="00D926D6"/>
    <w:rsid w:val="00D954D7"/>
    <w:rsid w:val="00D9558B"/>
    <w:rsid w:val="00DA6088"/>
    <w:rsid w:val="00DB0A14"/>
    <w:rsid w:val="00DB125F"/>
    <w:rsid w:val="00DB773E"/>
    <w:rsid w:val="00DC2D96"/>
    <w:rsid w:val="00DC474D"/>
    <w:rsid w:val="00DC53D0"/>
    <w:rsid w:val="00DC7472"/>
    <w:rsid w:val="00DD4206"/>
    <w:rsid w:val="00DD5B19"/>
    <w:rsid w:val="00DD6784"/>
    <w:rsid w:val="00DE03FA"/>
    <w:rsid w:val="00DE3416"/>
    <w:rsid w:val="00DE63CF"/>
    <w:rsid w:val="00DE6FF8"/>
    <w:rsid w:val="00DF391D"/>
    <w:rsid w:val="00DF5C64"/>
    <w:rsid w:val="00E01E4F"/>
    <w:rsid w:val="00E20EA3"/>
    <w:rsid w:val="00E336FC"/>
    <w:rsid w:val="00E34CC3"/>
    <w:rsid w:val="00E357E1"/>
    <w:rsid w:val="00E36C90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66CB"/>
    <w:rsid w:val="00E973F5"/>
    <w:rsid w:val="00EB0C39"/>
    <w:rsid w:val="00EB11D7"/>
    <w:rsid w:val="00EB2929"/>
    <w:rsid w:val="00EC439D"/>
    <w:rsid w:val="00EC64F5"/>
    <w:rsid w:val="00EC7F52"/>
    <w:rsid w:val="00ED4356"/>
    <w:rsid w:val="00EE2B20"/>
    <w:rsid w:val="00EF61B7"/>
    <w:rsid w:val="00F005C7"/>
    <w:rsid w:val="00F11B74"/>
    <w:rsid w:val="00F124D2"/>
    <w:rsid w:val="00F212AD"/>
    <w:rsid w:val="00F21C46"/>
    <w:rsid w:val="00F22FDF"/>
    <w:rsid w:val="00F30760"/>
    <w:rsid w:val="00F31619"/>
    <w:rsid w:val="00F316CC"/>
    <w:rsid w:val="00F33B58"/>
    <w:rsid w:val="00F34C95"/>
    <w:rsid w:val="00F37AB8"/>
    <w:rsid w:val="00F41C3E"/>
    <w:rsid w:val="00F544C1"/>
    <w:rsid w:val="00F54A5E"/>
    <w:rsid w:val="00F60EB8"/>
    <w:rsid w:val="00F64068"/>
    <w:rsid w:val="00F67B69"/>
    <w:rsid w:val="00F74B66"/>
    <w:rsid w:val="00F86790"/>
    <w:rsid w:val="00F90CAC"/>
    <w:rsid w:val="00F957BC"/>
    <w:rsid w:val="00FA03F5"/>
    <w:rsid w:val="00FA29DD"/>
    <w:rsid w:val="00FB09AB"/>
    <w:rsid w:val="00FC051C"/>
    <w:rsid w:val="00FC2343"/>
    <w:rsid w:val="00FC249F"/>
    <w:rsid w:val="00FC68CB"/>
    <w:rsid w:val="00FC68FF"/>
    <w:rsid w:val="00FD07DD"/>
    <w:rsid w:val="00FE153B"/>
    <w:rsid w:val="00FE2719"/>
    <w:rsid w:val="00FE2F9E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893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36C90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  <w:style w:type="character" w:styleId="ab">
    <w:name w:val="Hyperlink"/>
    <w:basedOn w:val="a0"/>
    <w:uiPriority w:val="99"/>
    <w:unhideWhenUsed/>
    <w:rsid w:val="00117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3EDB37C58C0421E3D4ACE11E90ACCF8B8837BA78433143E2C9642D4483F04ABBAA5914131657C43B3E8236DBAEBEC95F58CA590E07FCBm17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6A103E-8FE9-49EA-B670-684EC8F5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14</Pages>
  <Words>4616</Words>
  <Characters>26313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Меньшина Ольга Александровна</cp:lastModifiedBy>
  <cp:revision>5</cp:revision>
  <cp:lastPrinted>2023-02-17T02:58:00Z</cp:lastPrinted>
  <dcterms:created xsi:type="dcterms:W3CDTF">2023-11-16T02:42:00Z</dcterms:created>
  <dcterms:modified xsi:type="dcterms:W3CDTF">2023-11-20T09:41:00Z</dcterms:modified>
</cp:coreProperties>
</file>