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25" w:rsidRDefault="00DE3425" w:rsidP="002E6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Default="00BB5242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4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B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C4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640B4D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640B4D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30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709"/>
        <w:gridCol w:w="632"/>
      </w:tblGrid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702" w:type="dxa"/>
            <w:gridSpan w:val="14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индикатора, в том числе по годам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</w:t>
            </w:r>
            <w:r w:rsidR="005B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меча</w:t>
            </w:r>
            <w:r w:rsidR="005B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32" w:type="dxa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EC5743" w:rsidRPr="00541E8F" w:rsidRDefault="005B54FC" w:rsidP="0072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и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приверженности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селения Новосибирской области к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ведению 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B54F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 Розничные продажи алкогольной продукции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литров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2. Распространенность потребления табака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24,55</w:t>
            </w:r>
          </w:p>
        </w:tc>
        <w:tc>
          <w:tcPr>
            <w:tcW w:w="787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24,50</w:t>
            </w:r>
          </w:p>
        </w:tc>
        <w:tc>
          <w:tcPr>
            <w:tcW w:w="709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24,45</w:t>
            </w:r>
          </w:p>
        </w:tc>
        <w:tc>
          <w:tcPr>
            <w:tcW w:w="632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</w:t>
            </w:r>
          </w:p>
          <w:p w:rsidR="00EC5743" w:rsidRPr="00541E8F" w:rsidRDefault="00EC5743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оказания специализированной, включая высокотехнологичную, медицинской помощи, скорой, в т</w:t>
            </w:r>
            <w:r w:rsidR="00E15293" w:rsidRPr="00541E8F">
              <w:rPr>
                <w:rFonts w:ascii="Times New Roman" w:hAnsi="Times New Roman" w:cs="Times New Roman"/>
                <w:sz w:val="16"/>
                <w:szCs w:val="16"/>
              </w:rPr>
              <w:t>ом числе скорой специализирован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5D1DB2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5743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EC5743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4FC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4. Смертность населения трудоспособного возраста</w:t>
            </w:r>
          </w:p>
        </w:tc>
        <w:tc>
          <w:tcPr>
            <w:tcW w:w="99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525,80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465,0</w:t>
            </w:r>
          </w:p>
        </w:tc>
        <w:tc>
          <w:tcPr>
            <w:tcW w:w="851" w:type="dxa"/>
            <w:shd w:val="clear" w:color="auto" w:fill="auto"/>
          </w:tcPr>
          <w:p w:rsidR="005B54FC" w:rsidRPr="00966D32" w:rsidRDefault="005B54FC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87" w:type="dxa"/>
            <w:shd w:val="clear" w:color="auto" w:fill="auto"/>
          </w:tcPr>
          <w:p w:rsidR="005B54FC" w:rsidRPr="00966D32" w:rsidRDefault="005B54FC" w:rsidP="005D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D1DB2" w:rsidRPr="00966D3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524,9</w:t>
            </w:r>
          </w:p>
        </w:tc>
        <w:tc>
          <w:tcPr>
            <w:tcW w:w="632" w:type="dxa"/>
            <w:shd w:val="clear" w:color="auto" w:fill="auto"/>
          </w:tcPr>
          <w:p w:rsidR="005B54FC" w:rsidRPr="00966D32" w:rsidRDefault="005B54FC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2019 года, за 2018 год 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5. Смертность от болезней системы кровообращения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596,80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657,90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6786E" w:rsidRPr="00541E8F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86786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622,5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5D1DB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5D1DB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58714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9F1B5E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14C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9F1B5E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14C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58714C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9F1B5E" w:rsidRPr="00966D3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7. Смертность от новообразований (в том числе от злокачественных)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A7234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2433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F62CE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A72341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A72341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37E1"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53120B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215,2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4FC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онкологическими заболеваниями, прошедших обследование и/или лечение в текущем году из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числа состоящих под диспансерным наблюдением</w:t>
            </w:r>
          </w:p>
          <w:p w:rsidR="003D4FAB" w:rsidRPr="00541E8F" w:rsidRDefault="003D4FAB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54FC" w:rsidRPr="005B54FC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850" w:type="dxa"/>
            <w:shd w:val="clear" w:color="auto" w:fill="auto"/>
          </w:tcPr>
          <w:p w:rsidR="005B54FC" w:rsidRPr="00541E8F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87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auto" w:fill="auto"/>
          </w:tcPr>
          <w:p w:rsidR="005B54FC" w:rsidRPr="00966D32" w:rsidRDefault="005B54FC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632" w:type="dxa"/>
            <w:shd w:val="clear" w:color="auto" w:fill="auto"/>
          </w:tcPr>
          <w:p w:rsidR="005B54FC" w:rsidRPr="00966D32" w:rsidRDefault="005B54FC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850" w:type="dxa"/>
            <w:shd w:val="clear" w:color="auto" w:fill="auto"/>
          </w:tcPr>
          <w:p w:rsidR="006A4CF6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851" w:type="dxa"/>
            <w:shd w:val="clear" w:color="auto" w:fill="auto"/>
          </w:tcPr>
          <w:p w:rsidR="009510DD" w:rsidRPr="00966D32" w:rsidRDefault="009F1B5E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7,85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9F1B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1BD8" w:rsidRDefault="00351BD8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BD8" w:rsidRDefault="00351BD8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BD8" w:rsidRDefault="00351BD8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CF6" w:rsidRPr="00966D32" w:rsidRDefault="009F1B5E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10. Количество зарегистрированных больных с диагнозом, установленным впервые в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100 </w:t>
            </w:r>
            <w:r w:rsidR="00EC5743"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49,30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BC37E1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A4CF6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BC37E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9510DD" w:rsidRPr="00966D32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9510D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11. Ожидаемая продолжительность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72,44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73,23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68,96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69,79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72,03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72,61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73,35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государственно-частного партнерства как эффективного механизма, обеспечивающего повышение доступности и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оказания медицинской помощи населению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12. Доля частных медицинских организа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ций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5B54F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не под</w:t>
            </w:r>
            <w:r w:rsidR="005B54FC" w:rsidRPr="00966D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13. Доля финансирования частных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4.</w:t>
            </w:r>
          </w:p>
          <w:p w:rsidR="00EC5743" w:rsidRPr="00541E8F" w:rsidRDefault="00EC5743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предупрежде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ния и снижения материнской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14. 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C5743" w:rsidRPr="00541E8F" w:rsidRDefault="00EC5743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B54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15,35</w:t>
            </w:r>
          </w:p>
        </w:tc>
        <w:tc>
          <w:tcPr>
            <w:tcW w:w="851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709" w:type="dxa"/>
            <w:shd w:val="clear" w:color="auto" w:fill="auto"/>
          </w:tcPr>
          <w:p w:rsidR="00EC5743" w:rsidRPr="00966D32" w:rsidRDefault="00CF62C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632" w:type="dxa"/>
            <w:shd w:val="clear" w:color="auto" w:fill="auto"/>
          </w:tcPr>
          <w:p w:rsidR="00EC5743" w:rsidRPr="00966D32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4B4740" w:rsidRPr="00B80764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4B4740" w:rsidRPr="00B80764" w:rsidRDefault="004B4740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повышение качества медицинской помощи по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B4740" w:rsidRPr="00B80764" w:rsidRDefault="004B4740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15. Охват медицинской реабилитацией пациентов от</w:t>
            </w:r>
            <w:r w:rsidR="00B80764" w:rsidRP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числа нуждающихся после оказания специализированной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4B4740" w:rsidRPr="00541E8F" w:rsidRDefault="004B474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4B4740" w:rsidRPr="00541E8F" w:rsidRDefault="00E04286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51" w:type="dxa"/>
            <w:shd w:val="clear" w:color="auto" w:fill="auto"/>
          </w:tcPr>
          <w:p w:rsidR="004B4740" w:rsidRPr="00966D32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4B4740" w:rsidRPr="00966D32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4B4740" w:rsidRPr="00966D32" w:rsidRDefault="00B80764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4B4740" w:rsidRPr="00966D32" w:rsidRDefault="0089682E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не под</w:t>
            </w:r>
            <w:r w:rsidR="00B80764" w:rsidRPr="00966D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лежит оценке с 202</w:t>
            </w:r>
            <w:r w:rsidR="00E04286" w:rsidRPr="00966D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16. Доля случаев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оказания медицинской помощи по медицинской реабилитации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случаев, предусмотренных объемами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медицинской помощи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средств обязательного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цинского страхования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соответствующем году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87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2023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 год приведено базовое знач</w:t>
            </w:r>
            <w:r w:rsidR="00F34B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34B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качест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 жизни неизлечимых больных за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17. Обеспеченность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коек/100 тыс.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не подлежит оценке с 2021 года</w:t>
            </w:r>
          </w:p>
        </w:tc>
      </w:tr>
      <w:tr w:rsidR="00B80764" w:rsidRPr="00541E8F" w:rsidTr="006B4134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18. Обеспеченность паллиативными койками 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коек/ на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51" w:type="dxa"/>
            <w:shd w:val="clear" w:color="auto" w:fill="FFFFFF" w:themeFill="background1"/>
          </w:tcPr>
          <w:p w:rsidR="00B80764" w:rsidRPr="00966D32" w:rsidRDefault="00643782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787" w:type="dxa"/>
            <w:shd w:val="clear" w:color="auto" w:fill="FFFFFF" w:themeFill="background1"/>
          </w:tcPr>
          <w:p w:rsidR="00B80764" w:rsidRPr="00966D32" w:rsidRDefault="00B80764" w:rsidP="006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643782" w:rsidRPr="00966D3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B80764" w:rsidRPr="006B4134" w:rsidRDefault="00B80764" w:rsidP="00643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5BE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643782" w:rsidRPr="00815BE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7.</w:t>
            </w:r>
          </w:p>
          <w:p w:rsidR="001009AD" w:rsidRPr="00541E8F" w:rsidRDefault="001009AD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обеспеченности квалифицированными медицинскими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работниками государственных учреждений, подведомственных министерству здравоохране</w:t>
            </w:r>
            <w:r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ния Новосибир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B04425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Обеспеченность населения врачами, работающими 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государственных и муниципальных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20. Обеспеченность населения средними медицинскими работниками, работающими в 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88,10</w:t>
            </w:r>
          </w:p>
        </w:tc>
        <w:tc>
          <w:tcPr>
            <w:tcW w:w="787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89,50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2019 года, за 2018 год приведено базовое значение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21. Обеспеченность населения врачами, оказывающими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51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87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23,45</w:t>
            </w: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B80764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Соотношение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B80764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80764" w:rsidRPr="00966D32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B80764" w:rsidRPr="00541E8F" w:rsidRDefault="00B80764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B80764" w:rsidRPr="00541E8F" w:rsidRDefault="00B80764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8.</w:t>
            </w:r>
          </w:p>
          <w:p w:rsidR="001009AD" w:rsidRPr="00541E8F" w:rsidRDefault="001009AD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лекарственных препаратов, изделий медицинского назначения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продуктов специализированного лечебного питания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отдельных категорий граждан, проживающих в Новосибирской области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имеющих право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B04425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выписанных рецептов для предусмотренных льготных категорий граждан, по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которым лекарственные препараты отпущены, от общего количества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9.</w:t>
            </w:r>
          </w:p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получения гражданами и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 на территории Новосибирской области преимуществ от применения ин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формационных и телекоммуникационных технологий на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основе формирования единого информационного прост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ранства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сфере здраво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государственных медицинских организаций, производящих обмен медицинской информацией в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электронном виде, от 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 Повышение эффективности управления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 xml:space="preserve"> качеством медицинской помощи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охраны здоровья населения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едней заработной платы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работников медицинских организаций, имеющих высшее медицинское (фармацевтичес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кое) или иное высшее образование, предоставляющих медицинские услуги (обеспечивающих предоставление медицинских услуг), к среднемесячной начислен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ной заработной плате наемных 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индивидуальных предпринимателей и физических лиц (среднемесячному доходу от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заработной платы среднего медицинского (фармацевтического) персонала (персонала, обеспечивающего условия для пре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доставления медицинских услуг) к средне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месячной начисленной зарабо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тной плате наемных 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индивидуальны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предпринимателей и физических лиц (среднемесячному доходу от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индивидуальных предпринимателей и физических лиц (среднемесяч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ному доходу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11.</w:t>
            </w:r>
          </w:p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доступности и качества медицинской помощи, оказываемой в рамках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A52D79" w:rsidRPr="00541E8F" w:rsidRDefault="00A52D79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Подушевой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 финансирования за счет средств территориальной программы государственных гарантий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рубль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749,87</w:t>
            </w:r>
          </w:p>
        </w:tc>
        <w:tc>
          <w:tcPr>
            <w:tcW w:w="850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18 756,04</w:t>
            </w:r>
          </w:p>
        </w:tc>
        <w:tc>
          <w:tcPr>
            <w:tcW w:w="851" w:type="dxa"/>
            <w:shd w:val="clear" w:color="auto" w:fill="auto"/>
          </w:tcPr>
          <w:p w:rsidR="00A52D79" w:rsidRPr="00541E8F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19 692,94</w:t>
            </w:r>
          </w:p>
        </w:tc>
        <w:tc>
          <w:tcPr>
            <w:tcW w:w="850" w:type="dxa"/>
            <w:shd w:val="clear" w:color="auto" w:fill="auto"/>
          </w:tcPr>
          <w:p w:rsidR="00A52D79" w:rsidRPr="00966D32" w:rsidRDefault="00A52D79" w:rsidP="00541E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22278,8</w:t>
            </w:r>
          </w:p>
        </w:tc>
        <w:tc>
          <w:tcPr>
            <w:tcW w:w="851" w:type="dxa"/>
            <w:shd w:val="clear" w:color="auto" w:fill="auto"/>
          </w:tcPr>
          <w:p w:rsidR="00A52D79" w:rsidRPr="00966D32" w:rsidRDefault="00A52D79" w:rsidP="001235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A52D79" w:rsidRPr="00966D32" w:rsidRDefault="00A52D79" w:rsidP="001235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A52D79" w:rsidRPr="00541E8F" w:rsidRDefault="00A52D79" w:rsidP="0012358F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27 4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32" w:type="dxa"/>
            <w:shd w:val="clear" w:color="auto" w:fill="auto"/>
          </w:tcPr>
          <w:p w:rsidR="00A52D79" w:rsidRPr="00541E8F" w:rsidRDefault="00A52D79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2016 года, за 2015 год 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привед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ено базовое знач</w:t>
            </w:r>
            <w:r w:rsidR="001235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4B04CC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12.</w:t>
            </w:r>
          </w:p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Повышение дост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упности и </w:t>
            </w: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санитарной помощи детям в Новосибир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развитие материально-технич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еской базы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5CF9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2358F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дено базовое значение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04CC"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2022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415CF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. Младенческая смертность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181F70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13.</w:t>
            </w:r>
          </w:p>
          <w:p w:rsidR="00181F70" w:rsidRPr="00541E8F" w:rsidRDefault="00181F70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тарной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омощи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 Число посещений сельскими жителями медицинских организац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993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посещений на 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181F70" w:rsidRPr="00966D32" w:rsidRDefault="00181F70" w:rsidP="00181F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787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709" w:type="dxa"/>
          </w:tcPr>
          <w:p w:rsidR="00181F70" w:rsidRPr="00541E8F" w:rsidRDefault="00181F70" w:rsidP="00181F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632" w:type="dxa"/>
            <w:shd w:val="clear" w:color="auto" w:fill="auto"/>
          </w:tcPr>
          <w:p w:rsidR="00181F70" w:rsidRPr="00541E8F" w:rsidRDefault="00181F70" w:rsidP="009467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 2021 года, за 2020 год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Подпрограмма 1. Профилактика заболеваний и формирование здорового образа жизни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1009AD" w:rsidRPr="00541E8F" w:rsidRDefault="001009AD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медицинской профилактики </w:t>
            </w:r>
            <w:r w:rsidR="00351BD8" w:rsidRPr="00541E8F">
              <w:rPr>
                <w:rFonts w:ascii="Times New Roman" w:hAnsi="Times New Roman" w:cs="Times New Roman"/>
                <w:sz w:val="16"/>
                <w:szCs w:val="16"/>
              </w:rPr>
              <w:t>неинфекционных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заболеваний и формирование здорового образа жизни у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профилактическими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диспансеризацией дет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ей-сирот и детей, находящихся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трудной жи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зненной ситуации, пребывающих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стационарных учреждениях системы здраво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охранения, обра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зования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C609D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диспансеризацией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81F7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181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лежит оценке 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2021 года</w:t>
            </w:r>
          </w:p>
        </w:tc>
      </w:tr>
      <w:tr w:rsidR="00181F70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1F70" w:rsidRPr="00541E8F" w:rsidRDefault="00181F70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35. 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1F70" w:rsidRPr="00181F70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851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787" w:type="dxa"/>
            <w:shd w:val="clear" w:color="auto" w:fill="auto"/>
          </w:tcPr>
          <w:p w:rsidR="00181F70" w:rsidRPr="00966D32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632" w:type="dxa"/>
            <w:shd w:val="clear" w:color="auto" w:fill="auto"/>
          </w:tcPr>
          <w:p w:rsidR="00181F70" w:rsidRPr="00541E8F" w:rsidRDefault="00181F70" w:rsidP="0018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181F70" w:rsidRPr="00541E8F" w:rsidRDefault="00181F70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36. Охват граждан старше трудоспособного 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профилактическими осмотрами, включая диспансеризацию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181F70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8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</w:t>
            </w:r>
            <w:r w:rsidR="009467B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37. Доля лиц старше трудоспо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собного возраста, у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выявлены заболевания и патологические состояния,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находящихся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5D15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Число граждан, прошедших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профилактические осмотры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1,172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0,648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009AD" w:rsidRPr="00541E8F" w:rsidRDefault="00D25EF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4B04CC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года, за 2018 год </w:t>
            </w:r>
            <w:r w:rsidR="00B80764"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39. Распространенность ожирения среди взрос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лого населе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(индекс массы тела более 30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кг/кв. м)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40. Первичная заболеваемость ожирением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456,60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ЦИ отражает рост ранней </w:t>
            </w:r>
            <w:proofErr w:type="spellStart"/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выявля</w:t>
            </w:r>
            <w:r w:rsidRPr="00D25EF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емости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заболе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ваемос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 ожи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рением,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67B4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41. Темпы прироста первичной заболеваемости ожирением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</w:t>
            </w:r>
            <w:r w:rsidR="009467B4">
              <w:rPr>
                <w:rFonts w:ascii="Times New Roman" w:hAnsi="Times New Roman" w:cs="Times New Roman"/>
                <w:sz w:val="16"/>
                <w:szCs w:val="16"/>
              </w:rPr>
              <w:t>едено базовое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467B4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2EC4"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2022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42. Распространенность 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43. Распространенность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овышенного уровня холестерина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44. Распространенность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45. Распространенность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46. Распространенность недостаточного 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фруктов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злокачественных но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вообразований, выявленных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I-II стадиях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7A30" w:rsidRPr="00966D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7A30" w:rsidRPr="00966D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1009AD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009AD" w:rsidRPr="00541E8F" w:rsidRDefault="00707A3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населения профилактическими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Смертность мужчин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 лет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747,40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821,80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467B4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лежит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 Смертность женщин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 лет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229,80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246,60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D25EF3" w:rsidRPr="00541E8F" w:rsidRDefault="00D25EF3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Модернизация наркологической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52. Доля больных алкоголизмом,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53. Доля больных наркоманией,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больных наркоманией, находящихся в ремиссии от 1 года до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55. Число больных наркомани</w:t>
            </w:r>
            <w:r w:rsidR="009228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5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больных алкоголизмом, находящихся в ремиссии от 1 года до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 лет (на 100 больных алкоголизмом средне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0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851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  <w:tc>
          <w:tcPr>
            <w:tcW w:w="787" w:type="dxa"/>
            <w:shd w:val="clear" w:color="auto" w:fill="auto"/>
          </w:tcPr>
          <w:p w:rsidR="001009AD" w:rsidRPr="00966D32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57. 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9467B4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тор</w:t>
            </w:r>
            <w:r w:rsidR="00D25EF3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D25E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25EF3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D25EF3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D25EF3" w:rsidRPr="00541E8F" w:rsidRDefault="00D25EF3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58. Заболеваемость дифтерией</w:t>
            </w:r>
          </w:p>
        </w:tc>
        <w:tc>
          <w:tcPr>
            <w:tcW w:w="993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0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D25EF3" w:rsidRPr="00966D32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D25EF3" w:rsidRPr="00D25EF3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632" w:type="dxa"/>
            <w:shd w:val="clear" w:color="auto" w:fill="auto"/>
          </w:tcPr>
          <w:p w:rsidR="00D25EF3" w:rsidRPr="00541E8F" w:rsidRDefault="00D25EF3" w:rsidP="00D2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59. Заболеваемость корью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60. Заболеваемость краснухой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61. Заболеваемость эпидемическим паротитом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D25EF3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62. Охват иммунизацией населения против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дифтерии, коклюша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столбняка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лежит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63. Охват иммунизацией населения против кори в 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94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64. Охват иммунизацией населения против краснухи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65. Охват иммунизацией населения против эпидемического паротита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D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66. 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C55BE6" w:rsidRPr="00966D32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C55BE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67. Охват граждан старше трудоспособного возраста из групп риска, проживающих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организациях социального обслуживания, вакцинацией против пневмококковой инфекции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310E58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C55BE6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="00C55BE6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</w:t>
            </w:r>
            <w:r w:rsidR="00C55BE6"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</w:t>
            </w:r>
            <w:r w:rsidR="00C55BE6"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4. Профилактика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ИЧ-инфекции, вирусных гепатитов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B и C</w:t>
            </w: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68. Охват иммунизацией населения против вирусного гепатита B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0412D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Заболеваемость острым 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BE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C55BE6" w:rsidRPr="00541E8F" w:rsidRDefault="00C55BE6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70. 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Доля ВИЧ-инфицированных лиц, состоящих на диспансерном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учете, от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выявленных</w:t>
            </w:r>
          </w:p>
        </w:tc>
        <w:tc>
          <w:tcPr>
            <w:tcW w:w="993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C55BE6" w:rsidRPr="00541E8F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C55BE6" w:rsidRPr="00C55BE6" w:rsidRDefault="00C55BE6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C55BE6" w:rsidRPr="00541E8F" w:rsidRDefault="00310E58" w:rsidP="00C5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C55BE6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="00C55BE6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 w:rsidR="00C55B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55BE6"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ей, сведения о которых 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инфицированных вирусом иммунодефици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 человека,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</w:t>
            </w:r>
            <w:r w:rsidR="00310E5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72. Уровень информированности населения в возрасте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49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C55BE6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310E58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="005B177A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</w:t>
            </w:r>
            <w:r w:rsidR="005B177A"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2016 год 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901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1009AD" w:rsidRPr="00541E8F" w:rsidRDefault="001009AD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оказания медицинской помощи больным онкологическими заб</w:t>
            </w:r>
            <w:r w:rsidR="00310E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леваниями,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Удельный вес больных со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злокачественными новообразованиями, состоя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щих на учете 5 лет и более из общего числа больных со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образованиями,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Одногодичная летальность больных со зло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новообразованиями (умерли 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течении первого года с момента установления диагноза из числа больных, впервые взятых под диспансерное наблюдение в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предыдущем году)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</w:tcPr>
          <w:p w:rsidR="001009AD" w:rsidRPr="00541E8F" w:rsidRDefault="00730915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1009AD" w:rsidRPr="00541E8F" w:rsidRDefault="001009AD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1009AD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абациллированн</w:t>
            </w:r>
            <w:r w:rsidR="00310E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больных туберкулезом от числа больных ту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беркулезом с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бактериовыделением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3.</w:t>
            </w:r>
          </w:p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ВИЧ-инфекцией, получающих антиретровирусную терапию,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 числа состоящих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диспансерном учете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ВИЧ-инфекцией, получающих антиретро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вирусную терапию, в общем числе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ВИЧ-инфекцией, 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инфицированных вирусом иммунодефицита человек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78. Ожидаемая продолжительность жизни ВИЧ-инфицированных лиц, получающих антиретровирусную терапию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действующими стандартами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79. Доля лиц, инфицированных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 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80. 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</w:t>
            </w:r>
          </w:p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комплексной системы профи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лактики, диагностики, лечения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реабилитации при психических расстройствах</w:t>
            </w:r>
          </w:p>
        </w:tc>
        <w:tc>
          <w:tcPr>
            <w:tcW w:w="1273" w:type="dxa"/>
            <w:shd w:val="clear" w:color="auto" w:fill="auto"/>
          </w:tcPr>
          <w:p w:rsidR="001009AD" w:rsidRPr="00541E8F" w:rsidRDefault="003B2AB2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7571B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09AD" w:rsidRPr="00541E8F">
              <w:rPr>
                <w:rFonts w:ascii="Times New Roman" w:hAnsi="Times New Roman" w:cs="Times New Roman"/>
                <w:sz w:val="16"/>
                <w:szCs w:val="16"/>
              </w:rPr>
              <w:t>. Доля больных психическими расстройствами,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850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787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709" w:type="dxa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632" w:type="dxa"/>
            <w:shd w:val="clear" w:color="auto" w:fill="auto"/>
          </w:tcPr>
          <w:p w:rsidR="001009AD" w:rsidRPr="00541E8F" w:rsidRDefault="001009AD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помощи больным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82. 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422,70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годах,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83. 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84. Смертность от цереброваскулярных заболеваний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163,80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159,4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85. Смертность от острого нарушения мозгового кровообращения 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96,60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болезнями системы кровообращения, состоящих под диспанс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ерным наблюдением, получивших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5B177A" w:rsidRPr="00541E8F" w:rsidRDefault="00310E58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="005B177A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B177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5B177A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87. Доля лиц, которые пере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несли острое нарушение мозгового крово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обращения, инфаркт миокарда, 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также которым были выполнены аортокоронарное шунтирование,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ангиопластика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коронарных артерий со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стентированием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катетерная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абляция по поводу сердечно-сосудистых забо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леваний, бесплатно получавших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отчетном году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необхо</w:t>
            </w:r>
            <w:r w:rsidR="00F87EF5">
              <w:rPr>
                <w:rFonts w:ascii="Times New Roman" w:hAnsi="Times New Roman" w:cs="Times New Roman"/>
                <w:sz w:val="16"/>
                <w:szCs w:val="16"/>
              </w:rPr>
              <w:t>димые лекарственные препараты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B177A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32" w:type="dxa"/>
            <w:shd w:val="clear" w:color="auto" w:fill="auto"/>
          </w:tcPr>
          <w:p w:rsidR="005B177A" w:rsidRPr="00541E8F" w:rsidRDefault="005B177A" w:rsidP="005B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5B177A" w:rsidRPr="00541E8F" w:rsidRDefault="005B177A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F87EF5" w:rsidRPr="00541E8F" w:rsidRDefault="00F87EF5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оказания скорой,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 том числе скорой специализированной,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88. Доля выездов бригад скорой медицинской помощи со временем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доезда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менее 20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минут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89. Доля выездов бригад скорой медицинской помощи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экстренной форме со временем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доезда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90,50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91,50</w:t>
            </w:r>
          </w:p>
        </w:tc>
        <w:tc>
          <w:tcPr>
            <w:tcW w:w="787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F87EF5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87EF5" w:rsidRPr="00541E8F" w:rsidRDefault="00F87EF5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90. Число лиц (пациентов), дополнительно эвакуированных с использованием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87EF5" w:rsidRPr="005B177A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851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787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709" w:type="dxa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287,00</w:t>
            </w:r>
          </w:p>
        </w:tc>
        <w:tc>
          <w:tcPr>
            <w:tcW w:w="632" w:type="dxa"/>
            <w:shd w:val="clear" w:color="auto" w:fill="auto"/>
          </w:tcPr>
          <w:p w:rsidR="00F87EF5" w:rsidRPr="00541E8F" w:rsidRDefault="00F87EF5" w:rsidP="00F8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F87EF5" w:rsidRPr="00541E8F" w:rsidRDefault="00F87EF5" w:rsidP="0031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7.</w:t>
            </w:r>
          </w:p>
          <w:p w:rsidR="002A73C9" w:rsidRPr="00541E8F" w:rsidRDefault="002A73C9" w:rsidP="0031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оказания медицинской помощи пострадавшим при дорожно-транспортных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происшествиях,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3B2AB2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D7571B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Больни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чная летальность пострадавших в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64378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64378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2A73C9" w:rsidRPr="00966D32" w:rsidRDefault="0064378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,40</w:t>
            </w:r>
          </w:p>
        </w:tc>
        <w:tc>
          <w:tcPr>
            <w:tcW w:w="632" w:type="dxa"/>
            <w:shd w:val="clear" w:color="auto" w:fill="auto"/>
          </w:tcPr>
          <w:p w:rsidR="002A73C9" w:rsidRPr="00966D32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8.</w:t>
            </w:r>
          </w:p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BF3D8D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Доля детей до 18 ле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т, больных сахарным диабетом, с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F96B9A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граждан, получивших льготную медицин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скую помощь по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зубопротезированию, глаз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ному протезированию, </w:t>
            </w:r>
            <w:proofErr w:type="spellStart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слухопротезированию</w:t>
            </w:r>
            <w:proofErr w:type="spellEnd"/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180381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75D3" w:rsidRPr="00541E8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401D7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11189</w:t>
            </w:r>
          </w:p>
        </w:tc>
        <w:tc>
          <w:tcPr>
            <w:tcW w:w="709" w:type="dxa"/>
          </w:tcPr>
          <w:p w:rsidR="002A73C9" w:rsidRPr="00180381" w:rsidRDefault="00401D7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180381"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11189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9.</w:t>
            </w:r>
          </w:p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высоко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технологичной медицинской помощи,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94. Количество больных, кото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рым оказана высокотехнологичная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95. Количество пациентов, которым оказана высокотехноло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ичная медицинская помощь,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включенная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базовую программу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3089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</w:t>
            </w: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96. Доля трансплантирован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органов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числе заготовленных органов для трансплантации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</w:t>
            </w:r>
          </w:p>
          <w:p w:rsidR="002A73C9" w:rsidRPr="00541E8F" w:rsidRDefault="002A73C9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и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станций переливания крови, обеспечивающих современ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>ный уровень качества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11.</w:t>
            </w:r>
          </w:p>
          <w:p w:rsidR="00C4545E" w:rsidRPr="00541E8F" w:rsidRDefault="00C4545E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C4545E" w:rsidRPr="00541E8F" w:rsidRDefault="00C4545E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Процент исполнения объемов государственного задания</w:t>
            </w:r>
          </w:p>
        </w:tc>
        <w:tc>
          <w:tcPr>
            <w:tcW w:w="993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C4545E" w:rsidRPr="00541E8F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180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C4545E" w:rsidRPr="00180381" w:rsidRDefault="00C4545E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180381"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8038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C4545E" w:rsidRPr="00541E8F" w:rsidRDefault="00C4545E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381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12.</w:t>
            </w:r>
          </w:p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Предоставление отдельных видов медицинской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(в том числе обеспечение доступности лекарственных препаратов больным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гипофизарным нанизмом, болезнью Гоше, рассеянным склерозом, лицам после трансплантации органов и/или тканей)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жителям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из 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99. Охват лекарственным обеспечением лиц, больных гемофилией,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гемолитико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-уремическим синдромом, юношеским артритом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системным началом,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мукополисахаридозом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I, II и VI типов,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апластической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Прауэра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), лиц после трансплантации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80381" w:rsidRPr="005B177A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787" w:type="dxa"/>
            <w:shd w:val="clear" w:color="auto" w:fill="auto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180381" w:rsidRPr="00541E8F" w:rsidRDefault="00180381" w:rsidP="00180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180381" w:rsidRPr="00541E8F" w:rsidRDefault="00180381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3. Развитие государственно-частного партнерства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Формирование организацион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о-правовых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финансовых механизмов, обеспечивающих долгосрочное взаимодействие между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и частной системой здравоохранения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100. Количество заключе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нных концессионных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соглашений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соглашений о государственно-частном партнерстве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отношении объектов здравоохранения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447C60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катор</w:t>
            </w:r>
            <w:r w:rsidR="00F23F86"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</w:t>
            </w:r>
            <w:r w:rsidR="00F23F86"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2021 года, за 2020 год 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4. Охрана здоровья матери и ребенка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охраны репро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дуктивного здоровья населения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101. Доля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следованных беременных женщин в первом триместре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алгоритму комплексной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пренатальной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(дородовой) диагностик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нарушений развития ребенка от числа поставленных на учет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C4545E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Доля прежде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временных родов (22–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37 недель)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пери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натальных центрах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61,10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BF746D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541E8F">
              <w:rPr>
                <w:rFonts w:ascii="Times New Roman" w:hAnsi="Times New Roman" w:cs="Times New Roman"/>
                <w:sz w:val="16"/>
                <w:szCs w:val="16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ество на 1000 женщин в возрасте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643782" w:rsidP="0095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952B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84037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643782" w:rsidP="0095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952B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73C9" w:rsidRPr="00966D32" w:rsidRDefault="00643782" w:rsidP="00952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952B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2A73C9" w:rsidRPr="00966D32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</w:t>
            </w:r>
          </w:p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медицинской помощи детям, в том числе в выхаживании маловесных и недоношенных новорожденных</w:t>
            </w: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104. Охват неонатальным скринингом (доля новорожденных, обследованных на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105. Доля новорожденных, обследованных на врожденные и (или)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новорожденных, родившихся живыми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3F86" w:rsidRPr="005B177A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106.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аудиологическим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скринингом (доля новорожденных, обследованных 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аудиологический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скрининг, от 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Показатель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. Смертность детей в возрасте 0–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0 тыс. населения соответству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ющего возраста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53,40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Выживаемость детей, имевших при рождении очень низкую и экстремально низкую массу тела в акушерском стационаре (доля (%) вы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живших от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новорожденных, родившихся с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292E">
              <w:rPr>
                <w:rFonts w:ascii="Times New Roman" w:hAnsi="Times New Roman" w:cs="Times New Roman"/>
                <w:sz w:val="16"/>
                <w:szCs w:val="16"/>
              </w:rPr>
              <w:t>низкой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B54E77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B54E77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709" w:type="dxa"/>
          </w:tcPr>
          <w:p w:rsidR="002A73C9" w:rsidRPr="00966D32" w:rsidRDefault="00B54E77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2AB2" w:rsidRPr="00541E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Больничная летальность детей (доля умерших детей от числа поступивших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2A73C9" w:rsidRPr="00966D32" w:rsidRDefault="0009425C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73C9" w:rsidRPr="00966D3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4E77" w:rsidRPr="00966D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7" w:type="dxa"/>
            <w:shd w:val="clear" w:color="auto" w:fill="auto"/>
          </w:tcPr>
          <w:p w:rsidR="002A73C9" w:rsidRPr="00966D32" w:rsidRDefault="002A73C9" w:rsidP="00B54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="00B54E77" w:rsidRPr="00966D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A73C9" w:rsidRPr="00966D32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Первичная инвалидность у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пар «мать-дитя»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химиопрофилактикой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соответствии с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действующими стандартами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709" w:type="dxa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541E8F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х центральной нервной системы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органов чувств при нарушениях функции 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>опорно-двигательного аппарата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периферической нервной системы; при нарушениях функции 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3BE"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E47"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санаторно-курортным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44,00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87" w:type="dxa"/>
            <w:shd w:val="clear" w:color="auto" w:fill="auto"/>
          </w:tcPr>
          <w:p w:rsidR="002A73C9" w:rsidRPr="00541E8F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09" w:type="dxa"/>
          </w:tcPr>
          <w:p w:rsidR="002A73C9" w:rsidRPr="00F23F86" w:rsidRDefault="002A73C9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</w:t>
            </w:r>
            <w:r w:rsid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45,00</w:t>
            </w:r>
          </w:p>
        </w:tc>
        <w:tc>
          <w:tcPr>
            <w:tcW w:w="632" w:type="dxa"/>
            <w:shd w:val="clear" w:color="auto" w:fill="auto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F86" w:rsidRPr="00541E8F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3F86" w:rsidRPr="00541E8F" w:rsidRDefault="00F23F86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114. Охват реабилитационной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помощью детей-инвалидов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87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3F86" w:rsidRPr="00F23F86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23F8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 менее 95,00</w:t>
            </w:r>
          </w:p>
        </w:tc>
        <w:tc>
          <w:tcPr>
            <w:tcW w:w="632" w:type="dxa"/>
            <w:shd w:val="clear" w:color="auto" w:fill="auto"/>
          </w:tcPr>
          <w:p w:rsidR="00F23F86" w:rsidRPr="00541E8F" w:rsidRDefault="00F23F86" w:rsidP="00F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541E8F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5F5DF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службы паллиативной медицинской помощи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5F5DFD" w:rsidRPr="00314356" w:rsidRDefault="005F5DFD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115. Обеспеченность койками для 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коек/100 тыс. 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5F5DFD" w:rsidRPr="00314356" w:rsidRDefault="005F5DFD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5F5DF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5F5DFD" w:rsidRPr="00314356" w:rsidRDefault="005F5DFD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116. Доля пациентов, получивших пал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лиативную медицинскую помощь,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общем количестве пациентов, нуждающихся в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0" w:type="dxa"/>
            <w:shd w:val="clear" w:color="auto" w:fill="auto"/>
          </w:tcPr>
          <w:p w:rsidR="005F5DFD" w:rsidRPr="00314356" w:rsidRDefault="005F5DFD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F5DFD" w:rsidRPr="00314356" w:rsidRDefault="00B54E77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5F5DFD"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87" w:type="dxa"/>
            <w:shd w:val="clear" w:color="auto" w:fill="auto"/>
          </w:tcPr>
          <w:p w:rsidR="005F5DFD" w:rsidRPr="00314356" w:rsidRDefault="00B54E77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5F5DFD"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5F5DFD" w:rsidRPr="00314356" w:rsidRDefault="00B54E77" w:rsidP="005F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5F5DFD"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32" w:type="dxa"/>
            <w:shd w:val="clear" w:color="auto" w:fill="auto"/>
          </w:tcPr>
          <w:p w:rsidR="005F5DFD" w:rsidRPr="00314356" w:rsidRDefault="005F5DFD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7. Кадровое обеспечение системы здравоохранения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117. Укомплектованность медицинских организаций, осуществляющих медицин-скую помощь в амбулаторных условиях, медицинскими ра</w:t>
            </w:r>
            <w:r w:rsidR="00447C60">
              <w:rPr>
                <w:rFonts w:ascii="Times New Roman" w:hAnsi="Times New Roman" w:cs="Times New Roman"/>
                <w:sz w:val="16"/>
                <w:szCs w:val="16"/>
              </w:rPr>
              <w:t>ботниками (фи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зические лица)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2019 года</w:t>
            </w:r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118. Укомплектованность медицинских организаций, оказывающих медицинскую помощь в амбулаторных условиях (доля занятых физическими лицами должностей от общего количества должностей в медицинских учреждениях, оказывающих медицинскую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помощь в 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88,30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80,07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92,70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</w:t>
            </w:r>
            <w:r w:rsidR="00447C60">
              <w:rPr>
                <w:rFonts w:ascii="Times New Roman" w:hAnsi="Times New Roman" w:cs="Times New Roman"/>
                <w:sz w:val="16"/>
                <w:szCs w:val="16"/>
              </w:rPr>
              <w:t xml:space="preserve"> с 2019 года, за 2018 год приве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дено базовое значение</w:t>
            </w:r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119. Укомплектованность медицинских организаций, оказывающих медицинскую помощь в амбулаторных условиях (доля занятых физическими лицами должностей от общего количества должностей в медицинских учреждениях, оказывающих медицинскую помощь в амбулаторных условиях): средними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82,20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81,06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2019 года, за 2018 год приведено базовое значение</w:t>
            </w:r>
          </w:p>
        </w:tc>
      </w:tr>
      <w:tr w:rsidR="00F329D7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120. 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850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76,94</w:t>
            </w:r>
          </w:p>
        </w:tc>
        <w:tc>
          <w:tcPr>
            <w:tcW w:w="851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787" w:type="dxa"/>
            <w:shd w:val="clear" w:color="auto" w:fill="auto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709" w:type="dxa"/>
          </w:tcPr>
          <w:p w:rsidR="00F329D7" w:rsidRPr="00314356" w:rsidRDefault="00F329D7" w:rsidP="00F32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632" w:type="dxa"/>
            <w:shd w:val="clear" w:color="auto" w:fill="auto"/>
          </w:tcPr>
          <w:p w:rsidR="00F329D7" w:rsidRPr="00314356" w:rsidRDefault="00F329D7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2022 года, за 2021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44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3E47"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застрахованных медицинских работников, работа которых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связана с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 угрозой их жизни и здоровью, от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количества медицинских работников, 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медицинских работников, получателей единовременных и компенсационных денеж</w:t>
            </w:r>
            <w:r w:rsidR="00F329D7" w:rsidRPr="00314356">
              <w:rPr>
                <w:rFonts w:ascii="Times New Roman" w:hAnsi="Times New Roman" w:cs="Times New Roman"/>
                <w:sz w:val="16"/>
                <w:szCs w:val="16"/>
              </w:rPr>
              <w:t>ных выплат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компенсаций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A94772"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81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15B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4791B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81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15B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A73C9" w:rsidRPr="00314356" w:rsidRDefault="002A73C9" w:rsidP="0081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15B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123. 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44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2019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124. Доля медицинских организаций, перешедших на «эффективный контракт» с работниками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61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2019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125. Количество подготовленных специалистов по программам дополнительного медицинского и фармацевтического образования в государственных профессиональных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организациях, осуществляющих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61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126. Количество подготовленных специалистов среднего звена по программам дополнительного медицинского и фармацевтического образования в 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61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</w:t>
            </w:r>
            <w:r w:rsidR="00615B53">
              <w:rPr>
                <w:rFonts w:ascii="Times New Roman" w:hAnsi="Times New Roman" w:cs="Times New Roman"/>
                <w:sz w:val="16"/>
                <w:szCs w:val="16"/>
              </w:rPr>
              <w:t xml:space="preserve"> с 2021 года, за 2020 год приве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дено базовое значение, показатель не под-лежит оценке с 2023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127. Количество подготовленных специалистов среднего звена по программам, в том числе дополнительного медицинского и фармацевтического образования в 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61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2023 года, за 2022 год приведено базовое значение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128. Количество обучающихся, прошедших подготовку в обучающих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симуляционных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центрах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61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2022 года</w:t>
            </w: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129. Число специалистов, участвующих в системе непрерывного образования медицинских работни</w:t>
            </w:r>
            <w:r w:rsidR="0083292E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ков, в 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тысяча человек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31,783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33,488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35,194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36,900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36,900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61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2022 года, за 2021 год приве</w:t>
            </w:r>
            <w:r w:rsidR="00615B53">
              <w:rPr>
                <w:rFonts w:ascii="Times New Roman" w:hAnsi="Times New Roman" w:cs="Times New Roman"/>
                <w:sz w:val="16"/>
                <w:szCs w:val="16"/>
              </w:rPr>
              <w:t>дено базовое значе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</w:t>
            </w:r>
            <w:r w:rsidR="00AB224B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медицинские или фармацевтические организации системы здраво</w:t>
            </w:r>
            <w:r w:rsidR="00AB224B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4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B224B" w:rsidRPr="00314356" w:rsidRDefault="00AB224B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131. Доля специалистов, допущенных к профессиональной деятельности через процедуру аккредитации, от общего количества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850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AB224B" w:rsidRPr="00314356" w:rsidRDefault="00AB224B" w:rsidP="00AB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AB224B" w:rsidRPr="00314356" w:rsidRDefault="00AB224B" w:rsidP="0023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в 2022 году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B56EE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B56EEF" w:rsidRPr="00314356" w:rsidRDefault="00B56EEF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132. Рост числа граждан, получивших дорогостоящие лекарственные препараты по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конкретному торговому наименованию по решению формулярной комиссии министерства здраво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 (по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отношению к количеству граждан, получивших дорогост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оящие лекарственные препараты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2012 году)</w:t>
            </w:r>
          </w:p>
        </w:tc>
        <w:tc>
          <w:tcPr>
            <w:tcW w:w="993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B56EEF" w:rsidRPr="00314356" w:rsidRDefault="00B56EEF" w:rsidP="00B5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B56EEF" w:rsidRPr="00314356" w:rsidRDefault="00B56EEF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133. Охват лекарственным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3453E6" w:rsidRPr="00314356" w:rsidRDefault="00237881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катор введен с 2021 года, за 2020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73BE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детей, имеющих с рождения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диагноз «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фенилкетонурия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», обеспеченных специализированным лечебным питанием, от общего количества 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1970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. Доля муниципальных районов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городских округов, обеспеченных пунктами отпус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ка лекарственных препаратов, по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отношению ко всем муниципальным рай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онам и городским округам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136. Доля рецептов, находящихся на отсроченном обеспечении, в 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32" w:type="dxa"/>
            <w:shd w:val="clear" w:color="auto" w:fill="auto"/>
          </w:tcPr>
          <w:p w:rsidR="003453E6" w:rsidRPr="00314356" w:rsidRDefault="003453E6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2017 года, за 2016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901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9. Развитие информатизации в здравоохранении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901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8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1.</w:t>
            </w:r>
          </w:p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Внедрение и</w:t>
            </w:r>
            <w:r w:rsidR="00A06BC0" w:rsidRPr="0031435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06BC0" w:rsidRPr="00314356">
              <w:rPr>
                <w:rFonts w:ascii="Times New Roman" w:hAnsi="Times New Roman" w:cs="Times New Roman"/>
                <w:sz w:val="16"/>
                <w:szCs w:val="16"/>
              </w:rPr>
              <w:t>формационных и телекоммуникаци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онных технологий в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систему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4F6CB3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инфоматов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), от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2A73C9" w:rsidRPr="00314356" w:rsidRDefault="002A73C9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пребывания пациентов 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работы медицинского персонала в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медицинских органи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зациях Новосибирской области, а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. Ввод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эксплуатацию объектов строительства 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реконструкции зданий и сооружений медици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нских организаций (ежегодно),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том числе: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0FD2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815BEA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854545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0FD2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94E1A"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87670"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3B19"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A73C9" w:rsidRPr="00314356" w:rsidRDefault="00B4146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152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815BEA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BF3B1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A73C9" w:rsidRPr="00314356" w:rsidRDefault="00B4146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объектов строительства и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ции зданий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сооруж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ений медицинских организаций, к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которым разработана проектно-сметная 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73C9" w:rsidRPr="00314356" w:rsidRDefault="004B04CC" w:rsidP="0023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2EC4" w:rsidRPr="0031435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2018 года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23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государственных учреждений, оснащенных новым оборудованием, мебелью, оргтехникой, от 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бщего числа государственных учреждений, подведомственных министерству здраво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охранения Новосибирской области (ежегодно)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59,80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850EA1" w:rsidP="00850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BE4378" w:rsidRPr="0031435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C0720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госу</w:t>
            </w:r>
            <w:proofErr w:type="spellEnd"/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>-дарственных учреждений,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 w:rsidR="003453E6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проведены ремонтные работы, от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числа государственных учреждений, подведомственных министерству здравоохранени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Новосибирской области (ежегодно)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7438A0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BE437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Удельное потребление энергетических ресурсов государственных учреждений, подведомственных министерству здравоохранения Новосибирской области </w:t>
            </w:r>
          </w:p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2A73C9" w:rsidRPr="00314356" w:rsidRDefault="004B04CC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инди-катор</w:t>
            </w:r>
            <w:proofErr w:type="spellEnd"/>
            <w:r w:rsidR="002A73C9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proofErr w:type="spellStart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>приве-дено</w:t>
            </w:r>
            <w:proofErr w:type="spellEnd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-вое </w:t>
            </w:r>
            <w:proofErr w:type="spellStart"/>
            <w:r w:rsidR="00B80764" w:rsidRPr="00314356">
              <w:rPr>
                <w:rFonts w:ascii="Times New Roman" w:hAnsi="Times New Roman" w:cs="Times New Roman"/>
                <w:sz w:val="16"/>
                <w:szCs w:val="16"/>
              </w:rPr>
              <w:t>значе-ние</w:t>
            </w:r>
            <w:proofErr w:type="spellEnd"/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электроэнергии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709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32" w:type="dxa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E6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144. Количество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851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787" w:type="dxa"/>
            <w:shd w:val="clear" w:color="auto" w:fill="auto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709" w:type="dxa"/>
          </w:tcPr>
          <w:p w:rsidR="003453E6" w:rsidRPr="00314356" w:rsidRDefault="003453E6" w:rsidP="003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632" w:type="dxa"/>
            <w:shd w:val="clear" w:color="auto" w:fill="auto"/>
          </w:tcPr>
          <w:p w:rsidR="003453E6" w:rsidRPr="00314356" w:rsidRDefault="003453E6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за 2018 год приведено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145. Увеличение объема экспорта медицинских услуг не менее чем в четыре раза по сравнению с 2017 годом (до 1 млрд.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долларов США в год)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миллион долларов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146. Количество медицинских организаций, участвующих в 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2019 года, за 2018 год приведено базовое значение, индикатор не под-лежит оценке с 2021 года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147. Доля поли-клиник и поли-клинических подразделений, участвующих в создании и тиражировании «Новой модели организации оказания медицинской помощи», от общего количества так</w:t>
            </w:r>
            <w:r w:rsidR="00CC5EAC"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их организаций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51,90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148. Доля населенных пунктов с числом жителей до 2000 человек, населению которых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доступна первичная медико-санитарная помощь по месту их проживания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2022 года, за 2021 год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149. Число посещений сельскими жителями ФП,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ФАПов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 ВА, в расчете на 1 сельского жителя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посещение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6E2F80" w:rsidRPr="00314356" w:rsidRDefault="0091125E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катор введен с 2022 года, за 2021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151. Уровень госпитализации на геронтологические койки лиц старше 60 лет на 10 тыс. населения соответствующего возраста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условная единица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 w:rsidR="0091125E"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катор введен с 2023 года, за 2022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Средняя 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длительность лечения больного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стационаре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врачей первичного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545E"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пациентов, доставленн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ых по экстренным показаниям, от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числа пациен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тов, пролеченных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44,40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44,20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44,15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155.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рабочих дней со дня обращения, не более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6E2F80" w:rsidRPr="00314356" w:rsidRDefault="006E2F80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индикаторы введены с 2016 года, за 2015 год приведено базовое значение</w:t>
            </w: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часов с момента обращения пациента в медицин-скую организацию, не более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2" w:type="dxa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156. Сроки ожидания оказания специализированной (за исключением высокотехнологичной) медицинской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помо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календарных дней со дня выдачи лечащим врачом направления на госпитализацию, не более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рабочих дней со дня выдачи лечащим врачом направления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госпитализацию, не более 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F80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157.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6E2F80" w:rsidRPr="00314356" w:rsidRDefault="006E2F80" w:rsidP="0055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вызов на 1 застрахованное лицо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0,330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0,330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850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851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787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709" w:type="dxa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632" w:type="dxa"/>
            <w:shd w:val="clear" w:color="auto" w:fill="auto"/>
          </w:tcPr>
          <w:p w:rsidR="006E2F80" w:rsidRPr="00314356" w:rsidRDefault="006E2F80" w:rsidP="006E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подготовленных специалистов по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программам дополнительного медицинского и фармацевтического образования в</w:t>
            </w:r>
            <w:r w:rsidR="006E2F80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государственных организациях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709" w:type="dxa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159. Доля обоснованных жалоб пациентов, застрахованных в системе обязательного медицинского страхования, на оказание медицинской помощи в системе обязательного медицинского страхования, урегулированных в досудебном порядке (от общего числа обоснованных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жалоб пациентов), не менее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 Создание комфортных условий пребывания детей и родителей в 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160. Доля детских поликлиник и детских поли-клинических отделений медицинских организаций Новосибирской области, дооснащенных медицинскими изделиями с целью приведения их в соответствие с требованиями приказа Министерства здравоохранения Российской Федерации от 07.03.2018 № 92н «Об утверждении Положения об 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значение, индикатор не под-лежит оценке с 2021 года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161. Количество (доля) детских поликлиник и детских поли-клинических отделений с созданной современной инфраструктурой оказания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индикатор введен с 2021 года, за 2020 год приведено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базовое значение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162. Доля посещений детьми медицинских организаций с профилактическими целями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50,80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163. Доля детей в возрасте 0–17 лет от общей численности детского населения, пролеченных в дневных стационарах медицинских организаций, оказывающих медицинскую помощь в 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значение, индикатор не подлежит оценке с 2021 года</w:t>
            </w:r>
          </w:p>
          <w:p w:rsidR="00EE238B" w:rsidRPr="00314356" w:rsidRDefault="00EE238B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164. Число выполненных детьми посещений детских поликлиник и поликлинических подразделений, в которых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r w:rsidR="00615B53">
              <w:rPr>
                <w:rFonts w:ascii="Times New Roman" w:hAnsi="Times New Roman" w:cs="Times New Roman"/>
                <w:sz w:val="16"/>
                <w:szCs w:val="16"/>
              </w:rPr>
              <w:t>озданы комфортные условия пребы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вания детей и дооснащенных медицинским оборудованием, от общего числа посещений детьми детских поликлиник и поликлинических подразделений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AF1F07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F2451D" w:rsidRPr="00314356" w:rsidRDefault="00F2451D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</w:t>
            </w:r>
          </w:p>
        </w:tc>
      </w:tr>
      <w:tr w:rsidR="00F2451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F2451D" w:rsidRPr="00314356" w:rsidRDefault="00F2451D" w:rsidP="0061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165. 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в соответствии с требованиями приказа Министерства здравоохранения Российской Федерации от 07.03.2018 № 92н «Об утверждении Положения об организации оказания первичной медико-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69,84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98,41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F2451D" w:rsidRPr="00314356" w:rsidRDefault="00F2451D" w:rsidP="00F2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F2451D" w:rsidRPr="00314356" w:rsidRDefault="0091125E" w:rsidP="0091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F2451D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катор введен с 2018 года, за 2017 год приведено базовое значение, индикатор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под</w:t>
            </w:r>
            <w:r w:rsidR="00F2451D" w:rsidRPr="00314356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5809" w:type="dxa"/>
            <w:gridSpan w:val="19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D3A0B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4D3A0B" w:rsidRPr="00314356" w:rsidRDefault="004D3A0B" w:rsidP="00615B53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4D3A0B" w:rsidRPr="00314356" w:rsidRDefault="004D3A0B" w:rsidP="00615B53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166. Количество приобретенно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го оборудования для оснащения и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переоснащения медицинских организаций по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перечню, утвержденному Министерством здравоо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хранения Российской Федерации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соответствии со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стандартами оснащения медицинских организаций (их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D3A0B" w:rsidRPr="00314356" w:rsidRDefault="004D3A0B" w:rsidP="004D3A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4D3A0B" w:rsidRPr="00314356" w:rsidRDefault="004D3A0B" w:rsidP="004D3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</w:tcPr>
          <w:p w:rsidR="004D3A0B" w:rsidRPr="00314356" w:rsidRDefault="004D3A0B" w:rsidP="009112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оценивается в 2021 году</w:t>
            </w:r>
          </w:p>
        </w:tc>
      </w:tr>
      <w:tr w:rsidR="001E062D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062D" w:rsidRPr="00314356" w:rsidRDefault="001E062D" w:rsidP="00615B53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167. Количество приобретенного автомобильного транспорта для доставки пациентов в медицинские организации, доставки медицинских работников до места жительства пациентов, а также для пере-возки биологических материалов для исследований и доставки лекарственных препаратов до жителей отдаленных районов</w:t>
            </w:r>
          </w:p>
        </w:tc>
        <w:tc>
          <w:tcPr>
            <w:tcW w:w="993" w:type="dxa"/>
            <w:shd w:val="clear" w:color="auto" w:fill="auto"/>
          </w:tcPr>
          <w:p w:rsidR="001E062D" w:rsidRPr="00314356" w:rsidRDefault="001E062D" w:rsidP="001E06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87" w:type="dxa"/>
            <w:shd w:val="clear" w:color="auto" w:fill="auto"/>
          </w:tcPr>
          <w:p w:rsidR="001E062D" w:rsidRPr="00314356" w:rsidRDefault="001E062D" w:rsidP="001E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1E062D" w:rsidRPr="00314356" w:rsidRDefault="001E062D" w:rsidP="001E06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32" w:type="dxa"/>
            <w:shd w:val="clear" w:color="auto" w:fill="auto"/>
          </w:tcPr>
          <w:p w:rsidR="001E062D" w:rsidRPr="00314356" w:rsidRDefault="001E062D" w:rsidP="009112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оценивается в 2021 году и 2025 году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1E062D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зданий медицинских организаций, оказывающих первичную медико-санитарную помощь, находящихся в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аварийном состоянии, требующих сноса, реконструкции и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капитального ремонта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:rsidR="002A73C9" w:rsidRPr="00314356" w:rsidRDefault="00094812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4B04CC" w:rsidP="009112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</w:t>
            </w:r>
            <w:r w:rsidR="002A73C9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 2022 года, за 2021 год </w:t>
            </w:r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541E8F" w:rsidRPr="00314356" w:rsidTr="00541E8F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2A73C9" w:rsidRPr="00314356" w:rsidRDefault="002A73C9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2A73C9" w:rsidRPr="00314356" w:rsidRDefault="002A73C9" w:rsidP="00615B53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F5C49"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оборудования в подразделениях, оказывающих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медицинскую помощь в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амбулаторных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условиях, со сроком эксплуатации свыше 10 лет от</w:t>
            </w:r>
            <w:r w:rsidR="001E062D" w:rsidRPr="00314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общего числа данного вида оборудования</w:t>
            </w:r>
          </w:p>
        </w:tc>
        <w:tc>
          <w:tcPr>
            <w:tcW w:w="993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A73C9" w:rsidRPr="00314356" w:rsidRDefault="002A73C9" w:rsidP="00541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851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87" w:type="dxa"/>
            <w:shd w:val="clear" w:color="auto" w:fill="auto"/>
          </w:tcPr>
          <w:p w:rsidR="002A73C9" w:rsidRPr="00314356" w:rsidRDefault="00094812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09" w:type="dxa"/>
          </w:tcPr>
          <w:p w:rsidR="002A73C9" w:rsidRPr="00314356" w:rsidRDefault="00094812" w:rsidP="00541E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632" w:type="dxa"/>
            <w:shd w:val="clear" w:color="auto" w:fill="auto"/>
          </w:tcPr>
          <w:p w:rsidR="002A73C9" w:rsidRPr="00314356" w:rsidRDefault="004B04CC" w:rsidP="00615B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</w:t>
            </w:r>
            <w:r w:rsidR="002A73C9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 2022 года, за 2021 год </w:t>
            </w:r>
            <w:r w:rsidR="00B80764"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приведено базовое значение</w:t>
            </w:r>
          </w:p>
        </w:tc>
      </w:tr>
    </w:tbl>
    <w:p w:rsidR="00AA2005" w:rsidRPr="00314356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8807A7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D677D"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з</w:t>
      </w:r>
      <w:r w:rsidRPr="008807A7">
        <w:rPr>
          <w:rFonts w:ascii="Times New Roman" w:hAnsi="Times New Roman" w:cs="Times New Roman"/>
          <w:sz w:val="20"/>
          <w:szCs w:val="20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8807A7">
        <w:rPr>
          <w:rFonts w:ascii="Times New Roman" w:hAnsi="Times New Roman" w:cs="Times New Roman"/>
          <w:sz w:val="20"/>
          <w:szCs w:val="20"/>
        </w:rPr>
        <w:t>лось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</w:t>
      </w:r>
      <w:r w:rsidR="00F034C0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8807A7">
        <w:rPr>
          <w:rFonts w:ascii="Times New Roman" w:hAnsi="Times New Roman" w:cs="Times New Roman"/>
          <w:sz w:val="20"/>
          <w:szCs w:val="20"/>
        </w:rPr>
        <w:t>охода от трудовой деятельности);</w:t>
      </w:r>
    </w:p>
    <w:p w:rsidR="00CD0D9E" w:rsidRPr="008807A7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D0D9E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Pr="008807A7">
        <w:rPr>
          <w:rFonts w:ascii="Times New Roman" w:hAnsi="Times New Roman" w:cs="Times New Roman"/>
          <w:sz w:val="20"/>
          <w:szCs w:val="20"/>
        </w:rPr>
        <w:t>– и</w:t>
      </w:r>
      <w:r w:rsidR="00CD0D9E" w:rsidRPr="008807A7">
        <w:rPr>
          <w:rFonts w:ascii="Times New Roman" w:hAnsi="Times New Roman" w:cs="Times New Roman"/>
          <w:sz w:val="20"/>
          <w:szCs w:val="20"/>
        </w:rPr>
        <w:t>зменен механизм предоставления медицинской помощи льготной категории больных психичес</w:t>
      </w:r>
      <w:r w:rsidR="00193F24" w:rsidRPr="008807A7">
        <w:rPr>
          <w:rFonts w:ascii="Times New Roman" w:hAnsi="Times New Roman" w:cs="Times New Roman"/>
          <w:sz w:val="20"/>
          <w:szCs w:val="20"/>
        </w:rPr>
        <w:t>кими расстройствами с</w:t>
      </w:r>
      <w:r w:rsidR="00F034C0" w:rsidRPr="008807A7">
        <w:rPr>
          <w:rFonts w:ascii="Times New Roman" w:hAnsi="Times New Roman" w:cs="Times New Roman"/>
          <w:sz w:val="20"/>
          <w:szCs w:val="20"/>
        </w:rPr>
        <w:t> </w:t>
      </w:r>
      <w:r w:rsidR="00193F24" w:rsidRPr="008807A7">
        <w:rPr>
          <w:rFonts w:ascii="Times New Roman" w:hAnsi="Times New Roman" w:cs="Times New Roman"/>
          <w:sz w:val="20"/>
          <w:szCs w:val="20"/>
        </w:rPr>
        <w:t>2017 года;</w:t>
      </w:r>
    </w:p>
    <w:p w:rsidR="00CD0D9E" w:rsidRPr="008807A7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– с</w:t>
      </w:r>
      <w:r w:rsidRPr="008807A7">
        <w:rPr>
          <w:rFonts w:ascii="Times New Roman" w:hAnsi="Times New Roman" w:cs="Times New Roman"/>
          <w:sz w:val="20"/>
          <w:szCs w:val="20"/>
        </w:rPr>
        <w:t xml:space="preserve"> 2017 года функционируют 118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</w:t>
      </w:r>
      <w:r w:rsidR="00193F24" w:rsidRPr="008807A7">
        <w:rPr>
          <w:rFonts w:ascii="Times New Roman" w:hAnsi="Times New Roman" w:cs="Times New Roman"/>
          <w:sz w:val="20"/>
          <w:szCs w:val="20"/>
        </w:rPr>
        <w:t>охранения Новосибирской области;</w:t>
      </w:r>
    </w:p>
    <w:p w:rsidR="00CD0D9E" w:rsidRPr="008807A7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="00CD0D9E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Pr="008807A7">
        <w:rPr>
          <w:rFonts w:ascii="Times New Roman" w:hAnsi="Times New Roman" w:cs="Times New Roman"/>
          <w:sz w:val="20"/>
          <w:szCs w:val="20"/>
        </w:rPr>
        <w:t>с</w:t>
      </w:r>
      <w:r w:rsidR="00193F24" w:rsidRPr="008807A7">
        <w:rPr>
          <w:rFonts w:ascii="Times New Roman" w:hAnsi="Times New Roman" w:cs="Times New Roman"/>
          <w:sz w:val="20"/>
          <w:szCs w:val="20"/>
        </w:rPr>
        <w:t xml:space="preserve"> 1 октября 2017 года;</w:t>
      </w:r>
    </w:p>
    <w:p w:rsidR="00CD0D9E" w:rsidRPr="008807A7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– с</w:t>
      </w:r>
      <w:r w:rsidR="00193F24" w:rsidRPr="008807A7">
        <w:rPr>
          <w:rFonts w:ascii="Times New Roman" w:hAnsi="Times New Roman" w:cs="Times New Roman"/>
          <w:sz w:val="20"/>
          <w:szCs w:val="20"/>
        </w:rPr>
        <w:t xml:space="preserve"> 1 января 2018 года;</w:t>
      </w:r>
    </w:p>
    <w:p w:rsidR="00065C69" w:rsidRPr="008807A7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B749F2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– в</w:t>
      </w:r>
      <w:r w:rsidR="00B749F2" w:rsidRPr="008807A7">
        <w:rPr>
          <w:rFonts w:ascii="Times New Roman" w:hAnsi="Times New Roman" w:cs="Times New Roman"/>
          <w:sz w:val="20"/>
          <w:szCs w:val="20"/>
        </w:rPr>
        <w:t xml:space="preserve"> соответствии с приказом Минздрава России от 22.12.2017 №</w:t>
      </w:r>
      <w:r w:rsidR="00193F24" w:rsidRPr="008807A7">
        <w:rPr>
          <w:rFonts w:ascii="Times New Roman" w:hAnsi="Times New Roman" w:cs="Times New Roman"/>
          <w:sz w:val="20"/>
          <w:szCs w:val="20"/>
        </w:rPr>
        <w:t> </w:t>
      </w:r>
      <w:r w:rsidR="00B749F2" w:rsidRPr="008807A7">
        <w:rPr>
          <w:rFonts w:ascii="Times New Roman" w:hAnsi="Times New Roman" w:cs="Times New Roman"/>
          <w:sz w:val="20"/>
          <w:szCs w:val="20"/>
        </w:rPr>
        <w:t xml:space="preserve">1043н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="00B749F2" w:rsidRPr="008807A7">
        <w:rPr>
          <w:rFonts w:ascii="Times New Roman" w:hAnsi="Times New Roman" w:cs="Times New Roman"/>
          <w:sz w:val="20"/>
          <w:szCs w:val="20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8807A7">
        <w:rPr>
          <w:rFonts w:ascii="Times New Roman" w:hAnsi="Times New Roman" w:cs="Times New Roman"/>
          <w:sz w:val="20"/>
          <w:szCs w:val="20"/>
        </w:rPr>
        <w:t>щих аккредитации специалистов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F034C0" w:rsidRPr="00880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начнется с 1 января 2021 года;</w:t>
      </w:r>
    </w:p>
    <w:p w:rsidR="002910F1" w:rsidRPr="008807A7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 xml:space="preserve">– </w:t>
      </w:r>
      <w:r w:rsidRPr="008807A7">
        <w:rPr>
          <w:rFonts w:ascii="Times New Roman" w:hAnsi="Times New Roman" w:cs="Times New Roman"/>
          <w:sz w:val="20"/>
          <w:szCs w:val="20"/>
        </w:rPr>
        <w:t xml:space="preserve">с учетом ввода в эксплуатацию после реконструкции 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газовоздушного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тракта и дымовой трубы котельной на объекте 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="00EB73AC" w:rsidRPr="008807A7">
        <w:rPr>
          <w:rFonts w:ascii="Times New Roman" w:hAnsi="Times New Roman" w:cs="Times New Roman"/>
          <w:sz w:val="20"/>
          <w:szCs w:val="20"/>
        </w:rPr>
        <w:t>ГНКПБ № </w:t>
      </w:r>
      <w:r w:rsidRPr="008807A7">
        <w:rPr>
          <w:rFonts w:ascii="Times New Roman" w:hAnsi="Times New Roman" w:cs="Times New Roman"/>
          <w:sz w:val="20"/>
          <w:szCs w:val="20"/>
        </w:rPr>
        <w:t>3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Pr="008807A7">
        <w:rPr>
          <w:rFonts w:ascii="Times New Roman" w:hAnsi="Times New Roman" w:cs="Times New Roman"/>
          <w:sz w:val="20"/>
          <w:szCs w:val="20"/>
        </w:rPr>
        <w:t xml:space="preserve">, строительства фельдшерско-акушерских пунктов в </w:t>
      </w:r>
      <w:r w:rsidR="004B2A36" w:rsidRPr="008807A7">
        <w:rPr>
          <w:rFonts w:ascii="Times New Roman" w:hAnsi="Times New Roman" w:cs="Times New Roman"/>
          <w:sz w:val="20"/>
          <w:szCs w:val="20"/>
        </w:rPr>
        <w:t>п.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4B2A36" w:rsidRPr="008807A7">
        <w:rPr>
          <w:rFonts w:ascii="Times New Roman" w:hAnsi="Times New Roman" w:cs="Times New Roman"/>
          <w:sz w:val="20"/>
          <w:szCs w:val="20"/>
        </w:rPr>
        <w:t>Коб</w:t>
      </w:r>
      <w:proofErr w:type="spellEnd"/>
      <w:r w:rsidR="004B2A36" w:rsidRPr="008807A7">
        <w:rPr>
          <w:rFonts w:ascii="Times New Roman" w:hAnsi="Times New Roman" w:cs="Times New Roman"/>
          <w:sz w:val="20"/>
          <w:szCs w:val="20"/>
        </w:rPr>
        <w:t xml:space="preserve">-Кордон 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Северн</w:t>
      </w:r>
      <w:r w:rsidR="004B2A36" w:rsidRPr="008807A7">
        <w:rPr>
          <w:rFonts w:ascii="Times New Roman" w:hAnsi="Times New Roman" w:cs="Times New Roman"/>
          <w:sz w:val="20"/>
          <w:szCs w:val="20"/>
        </w:rPr>
        <w:t>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4B2A36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BE4AAF" w:rsidRPr="008807A7">
        <w:rPr>
          <w:rFonts w:ascii="Times New Roman" w:hAnsi="Times New Roman" w:cs="Times New Roman"/>
          <w:sz w:val="20"/>
          <w:szCs w:val="20"/>
        </w:rPr>
        <w:t>и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="00BE4AAF" w:rsidRPr="008807A7">
        <w:rPr>
          <w:rFonts w:ascii="Times New Roman" w:hAnsi="Times New Roman" w:cs="Times New Roman"/>
          <w:sz w:val="20"/>
          <w:szCs w:val="20"/>
        </w:rPr>
        <w:t>п.</w:t>
      </w:r>
      <w:r w:rsidR="00EB73AC" w:rsidRPr="008807A7">
        <w:rPr>
          <w:rFonts w:ascii="Times New Roman" w:hAnsi="Times New Roman" w:cs="Times New Roman"/>
          <w:sz w:val="20"/>
          <w:szCs w:val="20"/>
        </w:rPr>
        <w:t> </w:t>
      </w:r>
      <w:r w:rsidR="00BE4AAF" w:rsidRPr="008807A7">
        <w:rPr>
          <w:rFonts w:ascii="Times New Roman" w:hAnsi="Times New Roman" w:cs="Times New Roman"/>
          <w:sz w:val="20"/>
          <w:szCs w:val="20"/>
        </w:rPr>
        <w:t xml:space="preserve">Приобский 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="00BE4AAF" w:rsidRPr="008807A7">
        <w:rPr>
          <w:rFonts w:ascii="Times New Roman" w:hAnsi="Times New Roman" w:cs="Times New Roman"/>
          <w:sz w:val="20"/>
          <w:szCs w:val="20"/>
        </w:rPr>
        <w:t>НКЦРБ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BE4AAF" w:rsidRPr="008807A7">
        <w:rPr>
          <w:rFonts w:ascii="Times New Roman" w:hAnsi="Times New Roman" w:cs="Times New Roman"/>
          <w:sz w:val="20"/>
          <w:szCs w:val="20"/>
        </w:rPr>
        <w:t>;</w:t>
      </w:r>
    </w:p>
    <w:p w:rsidR="00BE4AAF" w:rsidRPr="008807A7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8807A7">
        <w:rPr>
          <w:rFonts w:ascii="Times New Roman" w:hAnsi="Times New Roman" w:cs="Times New Roman"/>
          <w:sz w:val="20"/>
          <w:szCs w:val="20"/>
        </w:rPr>
        <w:t xml:space="preserve"> – изменены (расширены) критерии ус</w:t>
      </w:r>
      <w:r w:rsidR="00A837CA" w:rsidRPr="008807A7">
        <w:rPr>
          <w:rFonts w:ascii="Times New Roman" w:hAnsi="Times New Roman" w:cs="Times New Roman"/>
          <w:sz w:val="20"/>
          <w:szCs w:val="20"/>
        </w:rPr>
        <w:t>тановления инвалидности у детей;</w:t>
      </w:r>
    </w:p>
    <w:p w:rsidR="00A837CA" w:rsidRPr="008807A7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 с 2020 года функционируют 113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</w:t>
      </w:r>
      <w:r w:rsidR="00DD00F3" w:rsidRPr="008807A7">
        <w:rPr>
          <w:rFonts w:ascii="Times New Roman" w:hAnsi="Times New Roman" w:cs="Times New Roman"/>
          <w:sz w:val="20"/>
          <w:szCs w:val="20"/>
        </w:rPr>
        <w:t>охранения Новосибирской области;</w:t>
      </w:r>
    </w:p>
    <w:p w:rsidR="00DD00F3" w:rsidRPr="008807A7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2021 года функциониру</w:t>
      </w:r>
      <w:bookmarkStart w:id="0" w:name="_GoBack"/>
      <w:bookmarkEnd w:id="0"/>
      <w:r w:rsidRPr="008807A7">
        <w:rPr>
          <w:rFonts w:ascii="Times New Roman" w:hAnsi="Times New Roman" w:cs="Times New Roman"/>
          <w:sz w:val="20"/>
          <w:szCs w:val="20"/>
        </w:rPr>
        <w:t>ют 11</w:t>
      </w:r>
      <w:r w:rsidR="00D50E6E" w:rsidRPr="008807A7">
        <w:rPr>
          <w:rFonts w:ascii="Times New Roman" w:hAnsi="Times New Roman" w:cs="Times New Roman"/>
          <w:sz w:val="20"/>
          <w:szCs w:val="20"/>
        </w:rPr>
        <w:t>2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здравоохранения Новосибирской области.</w:t>
      </w:r>
    </w:p>
    <w:p w:rsidR="000A158D" w:rsidRPr="008807A7" w:rsidRDefault="00AB7132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2B7FCB"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2021 года целевые индикаторы задачи характеризуют итоги достижен</w:t>
      </w:r>
      <w:r w:rsidR="002B7FCB" w:rsidRPr="008807A7">
        <w:rPr>
          <w:rFonts w:ascii="Times New Roman" w:hAnsi="Times New Roman" w:cs="Times New Roman"/>
          <w:sz w:val="20"/>
          <w:szCs w:val="20"/>
        </w:rPr>
        <w:t>ия цели подпрограммы 12 за 2018–</w:t>
      </w:r>
      <w:r w:rsidRPr="008807A7">
        <w:rPr>
          <w:rFonts w:ascii="Times New Roman" w:hAnsi="Times New Roman" w:cs="Times New Roman"/>
          <w:sz w:val="20"/>
          <w:szCs w:val="20"/>
        </w:rPr>
        <w:t>2020 годы</w:t>
      </w:r>
      <w:r w:rsidR="00A15EE1" w:rsidRPr="008807A7">
        <w:rPr>
          <w:rFonts w:ascii="Times New Roman" w:hAnsi="Times New Roman" w:cs="Times New Roman"/>
          <w:sz w:val="20"/>
          <w:szCs w:val="20"/>
        </w:rPr>
        <w:t>;</w:t>
      </w:r>
      <w:r w:rsidR="00823B5E" w:rsidRPr="008807A7">
        <w:rPr>
          <w:rFonts w:ascii="Times New Roman" w:hAnsi="Times New Roman" w:cs="Times New Roman"/>
          <w:sz w:val="20"/>
          <w:szCs w:val="20"/>
        </w:rPr>
        <w:t xml:space="preserve"> достигаются за счет деятельности медицинских организаций, подведомственных министерству здравоохранения Новосибирской области, в рамках территориальной программы государственных гарантий бесплатного оказания гражданам медицинской помощи в Новосибирской области</w:t>
      </w:r>
      <w:r w:rsidRPr="008807A7">
        <w:rPr>
          <w:rFonts w:ascii="Times New Roman" w:hAnsi="Times New Roman" w:cs="Times New Roman"/>
          <w:sz w:val="20"/>
          <w:szCs w:val="20"/>
        </w:rPr>
        <w:t>.</w:t>
      </w:r>
    </w:p>
    <w:p w:rsidR="008E1B37" w:rsidRPr="008807A7" w:rsidRDefault="008E1B37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2022 года функционируют </w:t>
      </w:r>
      <w:r w:rsidR="00EC28C4" w:rsidRPr="008807A7">
        <w:rPr>
          <w:rFonts w:ascii="Times New Roman" w:hAnsi="Times New Roman" w:cs="Times New Roman"/>
          <w:sz w:val="20"/>
          <w:szCs w:val="20"/>
        </w:rPr>
        <w:t>109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здравоохранения Новосибирской области.</w:t>
      </w:r>
    </w:p>
    <w:p w:rsidR="00C54606" w:rsidRPr="008807A7" w:rsidRDefault="00C54606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="002B7FCB"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учетом ввода в эксплуатацию после строительства 1</w:t>
      </w:r>
      <w:r w:rsidR="003C10AB" w:rsidRPr="008807A7">
        <w:rPr>
          <w:rFonts w:ascii="Times New Roman" w:hAnsi="Times New Roman" w:cs="Times New Roman"/>
          <w:sz w:val="20"/>
          <w:szCs w:val="20"/>
        </w:rPr>
        <w:t>6</w:t>
      </w:r>
      <w:r w:rsidRPr="008807A7">
        <w:rPr>
          <w:rFonts w:ascii="Times New Roman" w:hAnsi="Times New Roman" w:cs="Times New Roman"/>
          <w:sz w:val="20"/>
          <w:szCs w:val="20"/>
        </w:rPr>
        <w:t xml:space="preserve"> фельдшерско-акушерских пунктов в 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Кривояш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843D3" w:rsidRPr="008807A7">
        <w:rPr>
          <w:rFonts w:ascii="Times New Roman" w:hAnsi="Times New Roman" w:cs="Times New Roman"/>
          <w:sz w:val="20"/>
          <w:szCs w:val="20"/>
        </w:rPr>
        <w:t>Болотни</w:t>
      </w:r>
      <w:r w:rsidRPr="008807A7">
        <w:rPr>
          <w:rFonts w:ascii="Times New Roman" w:hAnsi="Times New Roman" w:cs="Times New Roman"/>
          <w:sz w:val="20"/>
          <w:szCs w:val="20"/>
        </w:rPr>
        <w:t>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Кульча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Куйбышевская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Ночка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 xml:space="preserve">Венгеровская </w:t>
      </w:r>
      <w:r w:rsidR="008843D3" w:rsidRPr="008807A7">
        <w:rPr>
          <w:rFonts w:ascii="Times New Roman" w:hAnsi="Times New Roman" w:cs="Times New Roman"/>
          <w:sz w:val="20"/>
          <w:szCs w:val="20"/>
        </w:rPr>
        <w:t>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п.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Пятилетка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Черепановская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Лепокурово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Баганская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Морозово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Бердская ЦГБ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Новый 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Майзас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Кыштовская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Петропавловка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Краснозерская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Победа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Усть-Таркская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Ургун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Линёвская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>, д</w:t>
      </w:r>
      <w:r w:rsidR="002B7FCB" w:rsidRPr="008807A7">
        <w:rPr>
          <w:rFonts w:ascii="Times New Roman" w:hAnsi="Times New Roman" w:cs="Times New Roman"/>
          <w:sz w:val="20"/>
          <w:szCs w:val="20"/>
        </w:rPr>
        <w:t>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Чаргары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Венгеровская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Красноглинное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ОЦГБ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Крещенское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Убинская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Преображенка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Искитимская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ЦГБ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>, п</w:t>
      </w:r>
      <w:r w:rsidRPr="008807A7">
        <w:rPr>
          <w:rFonts w:ascii="Times New Roman" w:hAnsi="Times New Roman" w:cs="Times New Roman"/>
          <w:sz w:val="20"/>
          <w:szCs w:val="20"/>
        </w:rPr>
        <w:t>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Шипуновский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Сузунская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д.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Очкино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Чистоозёрная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EC28C4" w:rsidRPr="008807A7">
        <w:rPr>
          <w:rFonts w:ascii="Times New Roman" w:hAnsi="Times New Roman" w:cs="Times New Roman"/>
          <w:sz w:val="20"/>
          <w:szCs w:val="20"/>
        </w:rPr>
        <w:t>;</w:t>
      </w:r>
    </w:p>
    <w:p w:rsidR="00587670" w:rsidRPr="008807A7" w:rsidRDefault="00587670" w:rsidP="00587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03DE9" w:rsidRPr="008807A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учетом ввода в эк</w:t>
      </w:r>
      <w:r w:rsidR="00E03DE9" w:rsidRPr="008807A7">
        <w:rPr>
          <w:rFonts w:ascii="Times New Roman" w:hAnsi="Times New Roman" w:cs="Times New Roman"/>
          <w:sz w:val="20"/>
          <w:szCs w:val="20"/>
        </w:rPr>
        <w:t xml:space="preserve">сплуатацию после строительства </w:t>
      </w:r>
      <w:r w:rsidRPr="008807A7">
        <w:rPr>
          <w:rFonts w:ascii="Times New Roman" w:hAnsi="Times New Roman" w:cs="Times New Roman"/>
          <w:sz w:val="20"/>
          <w:szCs w:val="20"/>
        </w:rPr>
        <w:t>6</w:t>
      </w:r>
      <w:r w:rsidR="00E03DE9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183789" w:rsidRPr="008807A7">
        <w:rPr>
          <w:rFonts w:ascii="Times New Roman" w:hAnsi="Times New Roman" w:cs="Times New Roman"/>
          <w:sz w:val="20"/>
          <w:szCs w:val="20"/>
        </w:rPr>
        <w:t>объектов, нереализованных в 2022 году</w:t>
      </w:r>
      <w:r w:rsidR="00DD5260" w:rsidRPr="008807A7">
        <w:rPr>
          <w:rFonts w:ascii="Times New Roman" w:hAnsi="Times New Roman" w:cs="Times New Roman"/>
          <w:sz w:val="20"/>
          <w:szCs w:val="20"/>
        </w:rPr>
        <w:t>:</w:t>
      </w:r>
      <w:r w:rsidR="00183789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DD5260" w:rsidRPr="008807A7">
        <w:rPr>
          <w:rFonts w:ascii="Times New Roman" w:hAnsi="Times New Roman" w:cs="Times New Roman"/>
          <w:sz w:val="20"/>
          <w:szCs w:val="20"/>
        </w:rPr>
        <w:t>з</w:t>
      </w:r>
      <w:r w:rsidR="00183789" w:rsidRPr="008807A7">
        <w:rPr>
          <w:rFonts w:ascii="Times New Roman" w:hAnsi="Times New Roman" w:cs="Times New Roman"/>
          <w:sz w:val="20"/>
          <w:szCs w:val="20"/>
        </w:rPr>
        <w:t>дание врачебной амбулатории мощностью 50 п/см в п. Ложок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FB2628" w:rsidRPr="008807A7">
        <w:rPr>
          <w:rFonts w:ascii="Times New Roman" w:hAnsi="Times New Roman" w:cs="Times New Roman"/>
          <w:sz w:val="20"/>
          <w:szCs w:val="20"/>
        </w:rPr>
        <w:t>дание врачебной а</w:t>
      </w:r>
      <w:r w:rsidR="008E2818" w:rsidRPr="008807A7">
        <w:rPr>
          <w:rFonts w:ascii="Times New Roman" w:hAnsi="Times New Roman" w:cs="Times New Roman"/>
          <w:sz w:val="20"/>
          <w:szCs w:val="20"/>
        </w:rPr>
        <w:t>мбулатории мощностью 100 п/см в </w:t>
      </w:r>
      <w:r w:rsidR="00FB2628" w:rsidRPr="008807A7">
        <w:rPr>
          <w:rFonts w:ascii="Times New Roman" w:hAnsi="Times New Roman" w:cs="Times New Roman"/>
          <w:sz w:val="20"/>
          <w:szCs w:val="20"/>
        </w:rPr>
        <w:t>п.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="00FB2628" w:rsidRPr="008807A7">
        <w:rPr>
          <w:rFonts w:ascii="Times New Roman" w:hAnsi="Times New Roman" w:cs="Times New Roman"/>
          <w:sz w:val="20"/>
          <w:szCs w:val="20"/>
        </w:rPr>
        <w:t>Мичуринский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FB2628" w:rsidRPr="008807A7">
        <w:rPr>
          <w:rFonts w:ascii="Times New Roman" w:hAnsi="Times New Roman" w:cs="Times New Roman"/>
          <w:sz w:val="20"/>
          <w:szCs w:val="20"/>
        </w:rPr>
        <w:t>дание врачебной амб</w:t>
      </w:r>
      <w:r w:rsidR="002B7FCB" w:rsidRPr="008807A7">
        <w:rPr>
          <w:rFonts w:ascii="Times New Roman" w:hAnsi="Times New Roman" w:cs="Times New Roman"/>
          <w:sz w:val="20"/>
          <w:szCs w:val="20"/>
        </w:rPr>
        <w:t>улатории мощностью 50 п/см в п. </w:t>
      </w:r>
      <w:proofErr w:type="spellStart"/>
      <w:r w:rsidR="00FB2628" w:rsidRPr="008807A7">
        <w:rPr>
          <w:rFonts w:ascii="Times New Roman" w:hAnsi="Times New Roman" w:cs="Times New Roman"/>
          <w:sz w:val="20"/>
          <w:szCs w:val="20"/>
        </w:rPr>
        <w:t>Тулинский</w:t>
      </w:r>
      <w:proofErr w:type="spellEnd"/>
      <w:r w:rsidR="00FB2628" w:rsidRPr="008807A7">
        <w:rPr>
          <w:rFonts w:ascii="Times New Roman" w:hAnsi="Times New Roman" w:cs="Times New Roman"/>
          <w:sz w:val="20"/>
          <w:szCs w:val="20"/>
        </w:rPr>
        <w:t xml:space="preserve">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A63FD6" w:rsidRPr="008807A7">
        <w:rPr>
          <w:rFonts w:ascii="Times New Roman" w:hAnsi="Times New Roman" w:cs="Times New Roman"/>
          <w:sz w:val="20"/>
          <w:szCs w:val="20"/>
        </w:rPr>
        <w:t>дание врачебной амбула</w:t>
      </w:r>
      <w:r w:rsidR="002B7FCB" w:rsidRPr="008807A7">
        <w:rPr>
          <w:rFonts w:ascii="Times New Roman" w:hAnsi="Times New Roman" w:cs="Times New Roman"/>
          <w:sz w:val="20"/>
          <w:szCs w:val="20"/>
        </w:rPr>
        <w:t xml:space="preserve">тории мощностью 100 п/см в </w:t>
      </w:r>
      <w:proofErr w:type="spellStart"/>
      <w:r w:rsidR="002B7FCB" w:rsidRPr="008807A7">
        <w:rPr>
          <w:rFonts w:ascii="Times New Roman" w:hAnsi="Times New Roman" w:cs="Times New Roman"/>
          <w:sz w:val="20"/>
          <w:szCs w:val="20"/>
        </w:rPr>
        <w:t>д.п</w:t>
      </w:r>
      <w:proofErr w:type="spellEnd"/>
      <w:r w:rsidR="002B7FCB" w:rsidRPr="008807A7">
        <w:rPr>
          <w:rFonts w:ascii="Times New Roman" w:hAnsi="Times New Roman" w:cs="Times New Roman"/>
          <w:sz w:val="20"/>
          <w:szCs w:val="20"/>
        </w:rPr>
        <w:t>. </w:t>
      </w:r>
      <w:proofErr w:type="spellStart"/>
      <w:r w:rsidR="00A63FD6" w:rsidRPr="008807A7">
        <w:rPr>
          <w:rFonts w:ascii="Times New Roman" w:hAnsi="Times New Roman" w:cs="Times New Roman"/>
          <w:sz w:val="20"/>
          <w:szCs w:val="20"/>
        </w:rPr>
        <w:t>Кудряшовский</w:t>
      </w:r>
      <w:proofErr w:type="spellEnd"/>
      <w:r w:rsidR="00A63FD6" w:rsidRPr="008807A7">
        <w:rPr>
          <w:rFonts w:ascii="Times New Roman" w:hAnsi="Times New Roman" w:cs="Times New Roman"/>
          <w:sz w:val="20"/>
          <w:szCs w:val="20"/>
        </w:rPr>
        <w:t xml:space="preserve">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A63FD6" w:rsidRPr="008807A7">
        <w:rPr>
          <w:rFonts w:ascii="Times New Roman" w:hAnsi="Times New Roman" w:cs="Times New Roman"/>
          <w:sz w:val="20"/>
          <w:szCs w:val="20"/>
        </w:rPr>
        <w:t>дание врачебной амб</w:t>
      </w:r>
      <w:r w:rsidR="002B7FCB" w:rsidRPr="008807A7">
        <w:rPr>
          <w:rFonts w:ascii="Times New Roman" w:hAnsi="Times New Roman" w:cs="Times New Roman"/>
          <w:sz w:val="20"/>
          <w:szCs w:val="20"/>
        </w:rPr>
        <w:t>улатории мощностью 50 п/см в п. </w:t>
      </w:r>
      <w:r w:rsidR="00A63FD6" w:rsidRPr="008807A7">
        <w:rPr>
          <w:rFonts w:ascii="Times New Roman" w:hAnsi="Times New Roman" w:cs="Times New Roman"/>
          <w:sz w:val="20"/>
          <w:szCs w:val="20"/>
        </w:rPr>
        <w:t>Садовый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183789" w:rsidRPr="008807A7">
        <w:rPr>
          <w:rFonts w:ascii="Times New Roman" w:hAnsi="Times New Roman" w:cs="Times New Roman"/>
          <w:sz w:val="20"/>
          <w:szCs w:val="20"/>
        </w:rPr>
        <w:t>поликлиника ГБУЗ НСО «ГКБ №2» в микрорайоне «Олимпийская слава»)</w:t>
      </w:r>
      <w:r w:rsidR="005D11C2" w:rsidRPr="008807A7">
        <w:rPr>
          <w:rFonts w:ascii="Times New Roman" w:hAnsi="Times New Roman" w:cs="Times New Roman"/>
          <w:sz w:val="20"/>
          <w:szCs w:val="20"/>
        </w:rPr>
        <w:t>.</w:t>
      </w:r>
    </w:p>
    <w:p w:rsidR="00587670" w:rsidRDefault="00587670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FCB" w:rsidRPr="00C54606" w:rsidRDefault="002B7FCB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F034C0" w:rsidRDefault="008807A7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F034C0" w:rsidRPr="009F0D03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F034C0" w:rsidSect="00541E8F">
      <w:headerReference w:type="default" r:id="rId8"/>
      <w:pgSz w:w="16838" w:h="11905" w:orient="landscape" w:code="9"/>
      <w:pgMar w:top="1418" w:right="567" w:bottom="567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BF" w:rsidRDefault="00BA12BF" w:rsidP="00F2530F">
      <w:pPr>
        <w:spacing w:after="0" w:line="240" w:lineRule="auto"/>
      </w:pPr>
      <w:r>
        <w:separator/>
      </w:r>
    </w:p>
  </w:endnote>
  <w:endnote w:type="continuationSeparator" w:id="0">
    <w:p w:rsidR="00BA12BF" w:rsidRDefault="00BA12BF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BF" w:rsidRDefault="00BA12BF" w:rsidP="00F2530F">
      <w:pPr>
        <w:spacing w:after="0" w:line="240" w:lineRule="auto"/>
      </w:pPr>
      <w:r>
        <w:separator/>
      </w:r>
    </w:p>
  </w:footnote>
  <w:footnote w:type="continuationSeparator" w:id="0">
    <w:p w:rsidR="00BA12BF" w:rsidRDefault="00BA12BF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0EA1" w:rsidRPr="003F03D8" w:rsidRDefault="00850EA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1F07">
          <w:rPr>
            <w:rFonts w:ascii="Times New Roman" w:hAnsi="Times New Roman" w:cs="Times New Roman"/>
            <w:noProof/>
            <w:sz w:val="20"/>
            <w:szCs w:val="20"/>
          </w:rPr>
          <w:t>50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2E4"/>
    <w:rsid w:val="00000836"/>
    <w:rsid w:val="00000CB3"/>
    <w:rsid w:val="00004552"/>
    <w:rsid w:val="000077FF"/>
    <w:rsid w:val="000125D9"/>
    <w:rsid w:val="00013288"/>
    <w:rsid w:val="00016F8F"/>
    <w:rsid w:val="000170D3"/>
    <w:rsid w:val="0002152D"/>
    <w:rsid w:val="000233C5"/>
    <w:rsid w:val="00025722"/>
    <w:rsid w:val="000332EE"/>
    <w:rsid w:val="0003337F"/>
    <w:rsid w:val="00036D3E"/>
    <w:rsid w:val="000477A0"/>
    <w:rsid w:val="000508CA"/>
    <w:rsid w:val="00051F19"/>
    <w:rsid w:val="000612EC"/>
    <w:rsid w:val="00065C69"/>
    <w:rsid w:val="00076621"/>
    <w:rsid w:val="00077B07"/>
    <w:rsid w:val="00084BF9"/>
    <w:rsid w:val="00086518"/>
    <w:rsid w:val="00092299"/>
    <w:rsid w:val="0009425C"/>
    <w:rsid w:val="00094812"/>
    <w:rsid w:val="00096979"/>
    <w:rsid w:val="000A0ED3"/>
    <w:rsid w:val="000A158D"/>
    <w:rsid w:val="000A6A45"/>
    <w:rsid w:val="000A7319"/>
    <w:rsid w:val="000B05A6"/>
    <w:rsid w:val="000B1A7D"/>
    <w:rsid w:val="000C4498"/>
    <w:rsid w:val="000C517E"/>
    <w:rsid w:val="000C7005"/>
    <w:rsid w:val="000C70E2"/>
    <w:rsid w:val="000C7C99"/>
    <w:rsid w:val="000D3A9D"/>
    <w:rsid w:val="000D536B"/>
    <w:rsid w:val="000E2F71"/>
    <w:rsid w:val="000E79B2"/>
    <w:rsid w:val="001009AD"/>
    <w:rsid w:val="00101C71"/>
    <w:rsid w:val="00102E16"/>
    <w:rsid w:val="001046A6"/>
    <w:rsid w:val="001218D2"/>
    <w:rsid w:val="0012358F"/>
    <w:rsid w:val="001260D2"/>
    <w:rsid w:val="00127195"/>
    <w:rsid w:val="00131693"/>
    <w:rsid w:val="00133E30"/>
    <w:rsid w:val="001352C0"/>
    <w:rsid w:val="00135F59"/>
    <w:rsid w:val="00150969"/>
    <w:rsid w:val="001545AE"/>
    <w:rsid w:val="00155236"/>
    <w:rsid w:val="00157A3A"/>
    <w:rsid w:val="00161280"/>
    <w:rsid w:val="001613F2"/>
    <w:rsid w:val="00162418"/>
    <w:rsid w:val="00163C53"/>
    <w:rsid w:val="001670B0"/>
    <w:rsid w:val="001677AB"/>
    <w:rsid w:val="00170737"/>
    <w:rsid w:val="00171EF2"/>
    <w:rsid w:val="00172D3B"/>
    <w:rsid w:val="001740DD"/>
    <w:rsid w:val="00175ACD"/>
    <w:rsid w:val="001765E6"/>
    <w:rsid w:val="00180381"/>
    <w:rsid w:val="00181F70"/>
    <w:rsid w:val="0018304B"/>
    <w:rsid w:val="00183789"/>
    <w:rsid w:val="00184037"/>
    <w:rsid w:val="001844CA"/>
    <w:rsid w:val="00191C9B"/>
    <w:rsid w:val="001924D3"/>
    <w:rsid w:val="00192E37"/>
    <w:rsid w:val="00193234"/>
    <w:rsid w:val="00193A36"/>
    <w:rsid w:val="00193F24"/>
    <w:rsid w:val="001A376E"/>
    <w:rsid w:val="001A7A1F"/>
    <w:rsid w:val="001A7C1D"/>
    <w:rsid w:val="001B077D"/>
    <w:rsid w:val="001B6B9F"/>
    <w:rsid w:val="001C1877"/>
    <w:rsid w:val="001C43BB"/>
    <w:rsid w:val="001C55C0"/>
    <w:rsid w:val="001D4F2E"/>
    <w:rsid w:val="001E046E"/>
    <w:rsid w:val="001E062D"/>
    <w:rsid w:val="001E1460"/>
    <w:rsid w:val="001E2931"/>
    <w:rsid w:val="001E377E"/>
    <w:rsid w:val="001E5149"/>
    <w:rsid w:val="001F0343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2558E"/>
    <w:rsid w:val="002319E5"/>
    <w:rsid w:val="00237881"/>
    <w:rsid w:val="00240A47"/>
    <w:rsid w:val="00240C37"/>
    <w:rsid w:val="00243912"/>
    <w:rsid w:val="00250259"/>
    <w:rsid w:val="00250A8E"/>
    <w:rsid w:val="00251BD1"/>
    <w:rsid w:val="002549C0"/>
    <w:rsid w:val="002561B8"/>
    <w:rsid w:val="00265294"/>
    <w:rsid w:val="0026590B"/>
    <w:rsid w:val="00270F25"/>
    <w:rsid w:val="00274A60"/>
    <w:rsid w:val="0027770F"/>
    <w:rsid w:val="0028033D"/>
    <w:rsid w:val="00280AF6"/>
    <w:rsid w:val="00281A3B"/>
    <w:rsid w:val="002849EC"/>
    <w:rsid w:val="0028593F"/>
    <w:rsid w:val="00285C99"/>
    <w:rsid w:val="002862DD"/>
    <w:rsid w:val="002910F1"/>
    <w:rsid w:val="00293328"/>
    <w:rsid w:val="00295183"/>
    <w:rsid w:val="00295536"/>
    <w:rsid w:val="00296C13"/>
    <w:rsid w:val="00297CFB"/>
    <w:rsid w:val="002A3AF8"/>
    <w:rsid w:val="002A3DA6"/>
    <w:rsid w:val="002A3DED"/>
    <w:rsid w:val="002A73C9"/>
    <w:rsid w:val="002B4007"/>
    <w:rsid w:val="002B7EDD"/>
    <w:rsid w:val="002B7FCB"/>
    <w:rsid w:val="002C105F"/>
    <w:rsid w:val="002C4B5E"/>
    <w:rsid w:val="002C6311"/>
    <w:rsid w:val="002C7A64"/>
    <w:rsid w:val="002D408F"/>
    <w:rsid w:val="002D61B3"/>
    <w:rsid w:val="002D677D"/>
    <w:rsid w:val="002E03A3"/>
    <w:rsid w:val="002E482F"/>
    <w:rsid w:val="002E6D8F"/>
    <w:rsid w:val="002E7670"/>
    <w:rsid w:val="002F3140"/>
    <w:rsid w:val="002F32A2"/>
    <w:rsid w:val="00302F7A"/>
    <w:rsid w:val="0030371F"/>
    <w:rsid w:val="0030566B"/>
    <w:rsid w:val="0030668B"/>
    <w:rsid w:val="00306AAB"/>
    <w:rsid w:val="00310E58"/>
    <w:rsid w:val="003128DE"/>
    <w:rsid w:val="00313B51"/>
    <w:rsid w:val="00314356"/>
    <w:rsid w:val="00314F25"/>
    <w:rsid w:val="00330B74"/>
    <w:rsid w:val="00333284"/>
    <w:rsid w:val="003340A0"/>
    <w:rsid w:val="00336EFF"/>
    <w:rsid w:val="00337CDE"/>
    <w:rsid w:val="00343006"/>
    <w:rsid w:val="003453E6"/>
    <w:rsid w:val="00347B7B"/>
    <w:rsid w:val="00351A11"/>
    <w:rsid w:val="00351BD8"/>
    <w:rsid w:val="00362DDC"/>
    <w:rsid w:val="00366C89"/>
    <w:rsid w:val="00366DA1"/>
    <w:rsid w:val="00370005"/>
    <w:rsid w:val="00372085"/>
    <w:rsid w:val="0037238F"/>
    <w:rsid w:val="00374099"/>
    <w:rsid w:val="00374215"/>
    <w:rsid w:val="00374D34"/>
    <w:rsid w:val="003771CE"/>
    <w:rsid w:val="003775D3"/>
    <w:rsid w:val="003813D7"/>
    <w:rsid w:val="0038333A"/>
    <w:rsid w:val="00385473"/>
    <w:rsid w:val="00391970"/>
    <w:rsid w:val="00391C60"/>
    <w:rsid w:val="003A08F4"/>
    <w:rsid w:val="003A1D2B"/>
    <w:rsid w:val="003A6B2F"/>
    <w:rsid w:val="003B0AB6"/>
    <w:rsid w:val="003B16DF"/>
    <w:rsid w:val="003B24F2"/>
    <w:rsid w:val="003B2AB2"/>
    <w:rsid w:val="003B2E07"/>
    <w:rsid w:val="003B3DF3"/>
    <w:rsid w:val="003B7BE8"/>
    <w:rsid w:val="003C10AB"/>
    <w:rsid w:val="003C1408"/>
    <w:rsid w:val="003C59B9"/>
    <w:rsid w:val="003C6E64"/>
    <w:rsid w:val="003C78B1"/>
    <w:rsid w:val="003D4065"/>
    <w:rsid w:val="003D4FAB"/>
    <w:rsid w:val="003D7BD1"/>
    <w:rsid w:val="003D7E1E"/>
    <w:rsid w:val="003E31E0"/>
    <w:rsid w:val="003E5A8B"/>
    <w:rsid w:val="003E65E3"/>
    <w:rsid w:val="003E7D99"/>
    <w:rsid w:val="003F02B6"/>
    <w:rsid w:val="003F03D8"/>
    <w:rsid w:val="003F1E7A"/>
    <w:rsid w:val="003F4634"/>
    <w:rsid w:val="00400FA9"/>
    <w:rsid w:val="00401480"/>
    <w:rsid w:val="00401D71"/>
    <w:rsid w:val="004038EA"/>
    <w:rsid w:val="00403D5D"/>
    <w:rsid w:val="004069F7"/>
    <w:rsid w:val="004144E1"/>
    <w:rsid w:val="00414C98"/>
    <w:rsid w:val="00415CF9"/>
    <w:rsid w:val="00420D3C"/>
    <w:rsid w:val="00421A0A"/>
    <w:rsid w:val="00427C4B"/>
    <w:rsid w:val="00430C8F"/>
    <w:rsid w:val="0043504F"/>
    <w:rsid w:val="00440B68"/>
    <w:rsid w:val="0044118F"/>
    <w:rsid w:val="004431AC"/>
    <w:rsid w:val="00446F3B"/>
    <w:rsid w:val="00447C60"/>
    <w:rsid w:val="00453ACC"/>
    <w:rsid w:val="004600D5"/>
    <w:rsid w:val="004604B7"/>
    <w:rsid w:val="00461EDB"/>
    <w:rsid w:val="00463F7C"/>
    <w:rsid w:val="0046663A"/>
    <w:rsid w:val="00477782"/>
    <w:rsid w:val="0048062F"/>
    <w:rsid w:val="00486D19"/>
    <w:rsid w:val="00494CBF"/>
    <w:rsid w:val="004A26A6"/>
    <w:rsid w:val="004A2DBD"/>
    <w:rsid w:val="004A6D0C"/>
    <w:rsid w:val="004A6F4B"/>
    <w:rsid w:val="004B04CC"/>
    <w:rsid w:val="004B2A36"/>
    <w:rsid w:val="004B2AD1"/>
    <w:rsid w:val="004B2ECA"/>
    <w:rsid w:val="004B2F74"/>
    <w:rsid w:val="004B33FB"/>
    <w:rsid w:val="004B3EA2"/>
    <w:rsid w:val="004B4740"/>
    <w:rsid w:val="004C7B9B"/>
    <w:rsid w:val="004D0732"/>
    <w:rsid w:val="004D20E2"/>
    <w:rsid w:val="004D3A0B"/>
    <w:rsid w:val="004D4D54"/>
    <w:rsid w:val="004D7821"/>
    <w:rsid w:val="004D787E"/>
    <w:rsid w:val="004E0098"/>
    <w:rsid w:val="004E08D8"/>
    <w:rsid w:val="004E19D7"/>
    <w:rsid w:val="004E32F8"/>
    <w:rsid w:val="004E34BD"/>
    <w:rsid w:val="004E5120"/>
    <w:rsid w:val="004E7E84"/>
    <w:rsid w:val="004F2802"/>
    <w:rsid w:val="004F632B"/>
    <w:rsid w:val="004F6CB3"/>
    <w:rsid w:val="004F71F4"/>
    <w:rsid w:val="004F7745"/>
    <w:rsid w:val="00500CA1"/>
    <w:rsid w:val="005045A6"/>
    <w:rsid w:val="005114A9"/>
    <w:rsid w:val="00513B79"/>
    <w:rsid w:val="0051716F"/>
    <w:rsid w:val="00522010"/>
    <w:rsid w:val="00522962"/>
    <w:rsid w:val="00522C6F"/>
    <w:rsid w:val="00525DBF"/>
    <w:rsid w:val="0052798D"/>
    <w:rsid w:val="005279EB"/>
    <w:rsid w:val="0053120B"/>
    <w:rsid w:val="00531BDD"/>
    <w:rsid w:val="0053418D"/>
    <w:rsid w:val="00534245"/>
    <w:rsid w:val="0053595A"/>
    <w:rsid w:val="00537D07"/>
    <w:rsid w:val="00537E24"/>
    <w:rsid w:val="00540E21"/>
    <w:rsid w:val="00540F4C"/>
    <w:rsid w:val="00541E8F"/>
    <w:rsid w:val="00545040"/>
    <w:rsid w:val="005456CC"/>
    <w:rsid w:val="00546DA8"/>
    <w:rsid w:val="00547727"/>
    <w:rsid w:val="0055386A"/>
    <w:rsid w:val="005552D0"/>
    <w:rsid w:val="00557217"/>
    <w:rsid w:val="0055783F"/>
    <w:rsid w:val="005630B1"/>
    <w:rsid w:val="0056708A"/>
    <w:rsid w:val="005715E8"/>
    <w:rsid w:val="00575728"/>
    <w:rsid w:val="005776E5"/>
    <w:rsid w:val="0058714C"/>
    <w:rsid w:val="00587670"/>
    <w:rsid w:val="005A185A"/>
    <w:rsid w:val="005A784D"/>
    <w:rsid w:val="005B0FAD"/>
    <w:rsid w:val="005B177A"/>
    <w:rsid w:val="005B54FC"/>
    <w:rsid w:val="005B6257"/>
    <w:rsid w:val="005C2968"/>
    <w:rsid w:val="005C7A92"/>
    <w:rsid w:val="005D11C2"/>
    <w:rsid w:val="005D1DB2"/>
    <w:rsid w:val="005D5352"/>
    <w:rsid w:val="005E04D4"/>
    <w:rsid w:val="005E4307"/>
    <w:rsid w:val="005E5D15"/>
    <w:rsid w:val="005E6BA2"/>
    <w:rsid w:val="005F37AC"/>
    <w:rsid w:val="005F5DFD"/>
    <w:rsid w:val="00601390"/>
    <w:rsid w:val="0060465C"/>
    <w:rsid w:val="00605D00"/>
    <w:rsid w:val="00606357"/>
    <w:rsid w:val="00610816"/>
    <w:rsid w:val="0061214A"/>
    <w:rsid w:val="00612E5C"/>
    <w:rsid w:val="0061540D"/>
    <w:rsid w:val="00615B53"/>
    <w:rsid w:val="00615BAF"/>
    <w:rsid w:val="00620DDA"/>
    <w:rsid w:val="006210A0"/>
    <w:rsid w:val="00631E2B"/>
    <w:rsid w:val="006358ED"/>
    <w:rsid w:val="00640B4D"/>
    <w:rsid w:val="00640F1B"/>
    <w:rsid w:val="00642C85"/>
    <w:rsid w:val="00643782"/>
    <w:rsid w:val="00651F1A"/>
    <w:rsid w:val="00653439"/>
    <w:rsid w:val="006558CD"/>
    <w:rsid w:val="006571FC"/>
    <w:rsid w:val="00661E89"/>
    <w:rsid w:val="006677F2"/>
    <w:rsid w:val="006721D7"/>
    <w:rsid w:val="00675D1E"/>
    <w:rsid w:val="00675FC2"/>
    <w:rsid w:val="006762D2"/>
    <w:rsid w:val="00682A7A"/>
    <w:rsid w:val="00684B4A"/>
    <w:rsid w:val="00692BF9"/>
    <w:rsid w:val="006A4CF6"/>
    <w:rsid w:val="006B0DD1"/>
    <w:rsid w:val="006B36EB"/>
    <w:rsid w:val="006B3816"/>
    <w:rsid w:val="006B4134"/>
    <w:rsid w:val="006C5F53"/>
    <w:rsid w:val="006C61FA"/>
    <w:rsid w:val="006C72C5"/>
    <w:rsid w:val="006C73E6"/>
    <w:rsid w:val="006D069A"/>
    <w:rsid w:val="006D1E08"/>
    <w:rsid w:val="006D4D07"/>
    <w:rsid w:val="006D5128"/>
    <w:rsid w:val="006D6325"/>
    <w:rsid w:val="006E2F80"/>
    <w:rsid w:val="006E7B31"/>
    <w:rsid w:val="006F3AD9"/>
    <w:rsid w:val="006F5106"/>
    <w:rsid w:val="006F5936"/>
    <w:rsid w:val="00701612"/>
    <w:rsid w:val="0070412D"/>
    <w:rsid w:val="00707A30"/>
    <w:rsid w:val="007116E6"/>
    <w:rsid w:val="00712EDC"/>
    <w:rsid w:val="007152C9"/>
    <w:rsid w:val="00722C7C"/>
    <w:rsid w:val="00723AF5"/>
    <w:rsid w:val="00726A72"/>
    <w:rsid w:val="00730915"/>
    <w:rsid w:val="00730969"/>
    <w:rsid w:val="00733421"/>
    <w:rsid w:val="00733C6C"/>
    <w:rsid w:val="00734313"/>
    <w:rsid w:val="0073574A"/>
    <w:rsid w:val="00736261"/>
    <w:rsid w:val="007438A0"/>
    <w:rsid w:val="0074530C"/>
    <w:rsid w:val="00745A47"/>
    <w:rsid w:val="00746239"/>
    <w:rsid w:val="007476EE"/>
    <w:rsid w:val="0075179D"/>
    <w:rsid w:val="00753355"/>
    <w:rsid w:val="00757B6E"/>
    <w:rsid w:val="007612A4"/>
    <w:rsid w:val="00765840"/>
    <w:rsid w:val="0076703B"/>
    <w:rsid w:val="00770329"/>
    <w:rsid w:val="0077174C"/>
    <w:rsid w:val="00771C81"/>
    <w:rsid w:val="00772C41"/>
    <w:rsid w:val="00776F7C"/>
    <w:rsid w:val="007804CE"/>
    <w:rsid w:val="00794E1A"/>
    <w:rsid w:val="007A15E0"/>
    <w:rsid w:val="007A39AD"/>
    <w:rsid w:val="007A48B6"/>
    <w:rsid w:val="007A5A29"/>
    <w:rsid w:val="007A6BD2"/>
    <w:rsid w:val="007A78C9"/>
    <w:rsid w:val="007A7FE5"/>
    <w:rsid w:val="007B23ED"/>
    <w:rsid w:val="007B2EC4"/>
    <w:rsid w:val="007B3559"/>
    <w:rsid w:val="007B36A4"/>
    <w:rsid w:val="007B4465"/>
    <w:rsid w:val="007B495C"/>
    <w:rsid w:val="007D1029"/>
    <w:rsid w:val="007D1228"/>
    <w:rsid w:val="007D2CB8"/>
    <w:rsid w:val="007D3362"/>
    <w:rsid w:val="007D4641"/>
    <w:rsid w:val="007D569C"/>
    <w:rsid w:val="007D6AC5"/>
    <w:rsid w:val="007D6FC6"/>
    <w:rsid w:val="007E582C"/>
    <w:rsid w:val="007E5C3E"/>
    <w:rsid w:val="007E653B"/>
    <w:rsid w:val="007F0FE0"/>
    <w:rsid w:val="007F490A"/>
    <w:rsid w:val="00800A6C"/>
    <w:rsid w:val="00806755"/>
    <w:rsid w:val="008070C0"/>
    <w:rsid w:val="00811C23"/>
    <w:rsid w:val="00815BEA"/>
    <w:rsid w:val="00823A61"/>
    <w:rsid w:val="00823B5E"/>
    <w:rsid w:val="00825040"/>
    <w:rsid w:val="00825253"/>
    <w:rsid w:val="00825812"/>
    <w:rsid w:val="0083192A"/>
    <w:rsid w:val="0083292E"/>
    <w:rsid w:val="008337DD"/>
    <w:rsid w:val="00833E47"/>
    <w:rsid w:val="008360C4"/>
    <w:rsid w:val="008365E5"/>
    <w:rsid w:val="0083724C"/>
    <w:rsid w:val="00842ADE"/>
    <w:rsid w:val="0084791B"/>
    <w:rsid w:val="00850C46"/>
    <w:rsid w:val="00850EA1"/>
    <w:rsid w:val="008513F7"/>
    <w:rsid w:val="00853DB2"/>
    <w:rsid w:val="00854545"/>
    <w:rsid w:val="0086786E"/>
    <w:rsid w:val="00873606"/>
    <w:rsid w:val="008779CC"/>
    <w:rsid w:val="008807A7"/>
    <w:rsid w:val="00880CBE"/>
    <w:rsid w:val="00880CE7"/>
    <w:rsid w:val="008824F1"/>
    <w:rsid w:val="008843D3"/>
    <w:rsid w:val="00884771"/>
    <w:rsid w:val="008873F1"/>
    <w:rsid w:val="00887EDA"/>
    <w:rsid w:val="008909DC"/>
    <w:rsid w:val="00890BB0"/>
    <w:rsid w:val="008929BF"/>
    <w:rsid w:val="0089682E"/>
    <w:rsid w:val="008A3BA4"/>
    <w:rsid w:val="008A3FCA"/>
    <w:rsid w:val="008A6977"/>
    <w:rsid w:val="008A6A7C"/>
    <w:rsid w:val="008A6C3B"/>
    <w:rsid w:val="008B27AA"/>
    <w:rsid w:val="008B2930"/>
    <w:rsid w:val="008B364E"/>
    <w:rsid w:val="008B5818"/>
    <w:rsid w:val="008B7667"/>
    <w:rsid w:val="008C1E9C"/>
    <w:rsid w:val="008C2046"/>
    <w:rsid w:val="008C239C"/>
    <w:rsid w:val="008C4EB0"/>
    <w:rsid w:val="008C4ECC"/>
    <w:rsid w:val="008C55F4"/>
    <w:rsid w:val="008C5A4C"/>
    <w:rsid w:val="008D112B"/>
    <w:rsid w:val="008D2466"/>
    <w:rsid w:val="008D7717"/>
    <w:rsid w:val="008D787A"/>
    <w:rsid w:val="008E1B37"/>
    <w:rsid w:val="008E2818"/>
    <w:rsid w:val="008E63BB"/>
    <w:rsid w:val="008F1B16"/>
    <w:rsid w:val="008F4AAA"/>
    <w:rsid w:val="0090026D"/>
    <w:rsid w:val="00903C9E"/>
    <w:rsid w:val="00906B80"/>
    <w:rsid w:val="0091125E"/>
    <w:rsid w:val="0092281D"/>
    <w:rsid w:val="00923CE8"/>
    <w:rsid w:val="00926561"/>
    <w:rsid w:val="00930B32"/>
    <w:rsid w:val="009467B4"/>
    <w:rsid w:val="00950C60"/>
    <w:rsid w:val="009510DD"/>
    <w:rsid w:val="00952352"/>
    <w:rsid w:val="00952B28"/>
    <w:rsid w:val="00954376"/>
    <w:rsid w:val="009566EF"/>
    <w:rsid w:val="009656D3"/>
    <w:rsid w:val="00966D32"/>
    <w:rsid w:val="00971099"/>
    <w:rsid w:val="00973068"/>
    <w:rsid w:val="009752BC"/>
    <w:rsid w:val="00976100"/>
    <w:rsid w:val="00985778"/>
    <w:rsid w:val="00986E5A"/>
    <w:rsid w:val="00987F16"/>
    <w:rsid w:val="009A2165"/>
    <w:rsid w:val="009A2B78"/>
    <w:rsid w:val="009A2D0D"/>
    <w:rsid w:val="009A2F0F"/>
    <w:rsid w:val="009A4E26"/>
    <w:rsid w:val="009A57B9"/>
    <w:rsid w:val="009A7753"/>
    <w:rsid w:val="009B1AB5"/>
    <w:rsid w:val="009B2A5D"/>
    <w:rsid w:val="009B3E61"/>
    <w:rsid w:val="009B5CB9"/>
    <w:rsid w:val="009C18E5"/>
    <w:rsid w:val="009C1CAC"/>
    <w:rsid w:val="009C4521"/>
    <w:rsid w:val="009C5F0E"/>
    <w:rsid w:val="009D5394"/>
    <w:rsid w:val="009E0656"/>
    <w:rsid w:val="009E113A"/>
    <w:rsid w:val="009E5D25"/>
    <w:rsid w:val="009F0D03"/>
    <w:rsid w:val="009F1B5E"/>
    <w:rsid w:val="009F24C9"/>
    <w:rsid w:val="009F766F"/>
    <w:rsid w:val="00A04371"/>
    <w:rsid w:val="00A06BC0"/>
    <w:rsid w:val="00A10BC2"/>
    <w:rsid w:val="00A10EF0"/>
    <w:rsid w:val="00A13127"/>
    <w:rsid w:val="00A15EE1"/>
    <w:rsid w:val="00A17185"/>
    <w:rsid w:val="00A1777E"/>
    <w:rsid w:val="00A25712"/>
    <w:rsid w:val="00A31915"/>
    <w:rsid w:val="00A34984"/>
    <w:rsid w:val="00A36F2B"/>
    <w:rsid w:val="00A377E3"/>
    <w:rsid w:val="00A4725A"/>
    <w:rsid w:val="00A52D79"/>
    <w:rsid w:val="00A558BA"/>
    <w:rsid w:val="00A57985"/>
    <w:rsid w:val="00A60FD2"/>
    <w:rsid w:val="00A6211C"/>
    <w:rsid w:val="00A63FD6"/>
    <w:rsid w:val="00A6543D"/>
    <w:rsid w:val="00A65799"/>
    <w:rsid w:val="00A67D86"/>
    <w:rsid w:val="00A71E28"/>
    <w:rsid w:val="00A72341"/>
    <w:rsid w:val="00A813BD"/>
    <w:rsid w:val="00A81C54"/>
    <w:rsid w:val="00A837CA"/>
    <w:rsid w:val="00A85A33"/>
    <w:rsid w:val="00A913A1"/>
    <w:rsid w:val="00A92C53"/>
    <w:rsid w:val="00A93760"/>
    <w:rsid w:val="00A94772"/>
    <w:rsid w:val="00AA0E75"/>
    <w:rsid w:val="00AA1D3B"/>
    <w:rsid w:val="00AA2005"/>
    <w:rsid w:val="00AA4077"/>
    <w:rsid w:val="00AA7E2E"/>
    <w:rsid w:val="00AA7E6E"/>
    <w:rsid w:val="00AB08DD"/>
    <w:rsid w:val="00AB0DAF"/>
    <w:rsid w:val="00AB0E6B"/>
    <w:rsid w:val="00AB224B"/>
    <w:rsid w:val="00AB3341"/>
    <w:rsid w:val="00AB3FD7"/>
    <w:rsid w:val="00AB7132"/>
    <w:rsid w:val="00AC012A"/>
    <w:rsid w:val="00AC0749"/>
    <w:rsid w:val="00AC0F44"/>
    <w:rsid w:val="00AC1C41"/>
    <w:rsid w:val="00AD0659"/>
    <w:rsid w:val="00AD5047"/>
    <w:rsid w:val="00AE09A3"/>
    <w:rsid w:val="00AE188A"/>
    <w:rsid w:val="00AE1C6C"/>
    <w:rsid w:val="00AE4D4E"/>
    <w:rsid w:val="00AE7330"/>
    <w:rsid w:val="00AF1F07"/>
    <w:rsid w:val="00AF3545"/>
    <w:rsid w:val="00AF4545"/>
    <w:rsid w:val="00AF7C3E"/>
    <w:rsid w:val="00AF7E9C"/>
    <w:rsid w:val="00B02B59"/>
    <w:rsid w:val="00B04425"/>
    <w:rsid w:val="00B064B6"/>
    <w:rsid w:val="00B06CC9"/>
    <w:rsid w:val="00B07E47"/>
    <w:rsid w:val="00B1236D"/>
    <w:rsid w:val="00B13CA8"/>
    <w:rsid w:val="00B2102E"/>
    <w:rsid w:val="00B21AF6"/>
    <w:rsid w:val="00B23B15"/>
    <w:rsid w:val="00B267E3"/>
    <w:rsid w:val="00B26A2B"/>
    <w:rsid w:val="00B3270B"/>
    <w:rsid w:val="00B32A60"/>
    <w:rsid w:val="00B4146C"/>
    <w:rsid w:val="00B42433"/>
    <w:rsid w:val="00B46D7F"/>
    <w:rsid w:val="00B50F7A"/>
    <w:rsid w:val="00B5112A"/>
    <w:rsid w:val="00B51E1E"/>
    <w:rsid w:val="00B54E77"/>
    <w:rsid w:val="00B56BD6"/>
    <w:rsid w:val="00B56EEF"/>
    <w:rsid w:val="00B570A4"/>
    <w:rsid w:val="00B57899"/>
    <w:rsid w:val="00B612FF"/>
    <w:rsid w:val="00B660B1"/>
    <w:rsid w:val="00B67D57"/>
    <w:rsid w:val="00B67F70"/>
    <w:rsid w:val="00B749F2"/>
    <w:rsid w:val="00B763C1"/>
    <w:rsid w:val="00B77FDE"/>
    <w:rsid w:val="00B80303"/>
    <w:rsid w:val="00B80764"/>
    <w:rsid w:val="00B83272"/>
    <w:rsid w:val="00B954DE"/>
    <w:rsid w:val="00B95E54"/>
    <w:rsid w:val="00B97B58"/>
    <w:rsid w:val="00BA011D"/>
    <w:rsid w:val="00BA12BF"/>
    <w:rsid w:val="00BA12FB"/>
    <w:rsid w:val="00BA5A6B"/>
    <w:rsid w:val="00BA5C40"/>
    <w:rsid w:val="00BA6C96"/>
    <w:rsid w:val="00BB2C03"/>
    <w:rsid w:val="00BB4DCE"/>
    <w:rsid w:val="00BB5242"/>
    <w:rsid w:val="00BB72AC"/>
    <w:rsid w:val="00BC0759"/>
    <w:rsid w:val="00BC2C61"/>
    <w:rsid w:val="00BC37E1"/>
    <w:rsid w:val="00BD2525"/>
    <w:rsid w:val="00BD2763"/>
    <w:rsid w:val="00BD4643"/>
    <w:rsid w:val="00BD654E"/>
    <w:rsid w:val="00BE0908"/>
    <w:rsid w:val="00BE1630"/>
    <w:rsid w:val="00BE3EC7"/>
    <w:rsid w:val="00BE4378"/>
    <w:rsid w:val="00BE4AAF"/>
    <w:rsid w:val="00BE5123"/>
    <w:rsid w:val="00BF1E12"/>
    <w:rsid w:val="00BF2964"/>
    <w:rsid w:val="00BF3B19"/>
    <w:rsid w:val="00BF3D8D"/>
    <w:rsid w:val="00BF746D"/>
    <w:rsid w:val="00BF7D88"/>
    <w:rsid w:val="00C02CDD"/>
    <w:rsid w:val="00C02D30"/>
    <w:rsid w:val="00C12279"/>
    <w:rsid w:val="00C13590"/>
    <w:rsid w:val="00C25109"/>
    <w:rsid w:val="00C310DC"/>
    <w:rsid w:val="00C40878"/>
    <w:rsid w:val="00C430C8"/>
    <w:rsid w:val="00C447E8"/>
    <w:rsid w:val="00C4545E"/>
    <w:rsid w:val="00C46837"/>
    <w:rsid w:val="00C510C1"/>
    <w:rsid w:val="00C53FD5"/>
    <w:rsid w:val="00C54606"/>
    <w:rsid w:val="00C55BE6"/>
    <w:rsid w:val="00C57558"/>
    <w:rsid w:val="00C64A6A"/>
    <w:rsid w:val="00C64FDB"/>
    <w:rsid w:val="00C7259D"/>
    <w:rsid w:val="00C825C7"/>
    <w:rsid w:val="00C83231"/>
    <w:rsid w:val="00C862A6"/>
    <w:rsid w:val="00C86A3B"/>
    <w:rsid w:val="00C90417"/>
    <w:rsid w:val="00C92B8F"/>
    <w:rsid w:val="00C956EE"/>
    <w:rsid w:val="00C95DF2"/>
    <w:rsid w:val="00C979B6"/>
    <w:rsid w:val="00CA0BD7"/>
    <w:rsid w:val="00CA3224"/>
    <w:rsid w:val="00CA380C"/>
    <w:rsid w:val="00CA50A7"/>
    <w:rsid w:val="00CA5B5E"/>
    <w:rsid w:val="00CA7500"/>
    <w:rsid w:val="00CA7A42"/>
    <w:rsid w:val="00CB17F6"/>
    <w:rsid w:val="00CB395D"/>
    <w:rsid w:val="00CB692C"/>
    <w:rsid w:val="00CC5EAC"/>
    <w:rsid w:val="00CC609D"/>
    <w:rsid w:val="00CC71B6"/>
    <w:rsid w:val="00CD0D9E"/>
    <w:rsid w:val="00CF3BE3"/>
    <w:rsid w:val="00CF4FCA"/>
    <w:rsid w:val="00CF62CE"/>
    <w:rsid w:val="00D03705"/>
    <w:rsid w:val="00D0562A"/>
    <w:rsid w:val="00D15911"/>
    <w:rsid w:val="00D15F93"/>
    <w:rsid w:val="00D17B76"/>
    <w:rsid w:val="00D21E87"/>
    <w:rsid w:val="00D25EF3"/>
    <w:rsid w:val="00D34AAC"/>
    <w:rsid w:val="00D35728"/>
    <w:rsid w:val="00D35B5B"/>
    <w:rsid w:val="00D41615"/>
    <w:rsid w:val="00D45EB5"/>
    <w:rsid w:val="00D4632B"/>
    <w:rsid w:val="00D46E0C"/>
    <w:rsid w:val="00D5065A"/>
    <w:rsid w:val="00D50E6E"/>
    <w:rsid w:val="00D53502"/>
    <w:rsid w:val="00D5605C"/>
    <w:rsid w:val="00D57CF0"/>
    <w:rsid w:val="00D610DB"/>
    <w:rsid w:val="00D61B12"/>
    <w:rsid w:val="00D63500"/>
    <w:rsid w:val="00D65D83"/>
    <w:rsid w:val="00D66F0A"/>
    <w:rsid w:val="00D70F1B"/>
    <w:rsid w:val="00D72523"/>
    <w:rsid w:val="00D73F37"/>
    <w:rsid w:val="00D7571B"/>
    <w:rsid w:val="00D76725"/>
    <w:rsid w:val="00D80E88"/>
    <w:rsid w:val="00D90ED8"/>
    <w:rsid w:val="00D9241C"/>
    <w:rsid w:val="00D93F6A"/>
    <w:rsid w:val="00D94527"/>
    <w:rsid w:val="00D95166"/>
    <w:rsid w:val="00D96AF4"/>
    <w:rsid w:val="00D9762F"/>
    <w:rsid w:val="00DA07CB"/>
    <w:rsid w:val="00DA0ADB"/>
    <w:rsid w:val="00DA13FC"/>
    <w:rsid w:val="00DA2E4A"/>
    <w:rsid w:val="00DA7251"/>
    <w:rsid w:val="00DA764A"/>
    <w:rsid w:val="00DB24C3"/>
    <w:rsid w:val="00DB2E65"/>
    <w:rsid w:val="00DB718F"/>
    <w:rsid w:val="00DB7CA1"/>
    <w:rsid w:val="00DC0720"/>
    <w:rsid w:val="00DC1111"/>
    <w:rsid w:val="00DD00F3"/>
    <w:rsid w:val="00DD2311"/>
    <w:rsid w:val="00DD27F1"/>
    <w:rsid w:val="00DD2AEE"/>
    <w:rsid w:val="00DD4DBE"/>
    <w:rsid w:val="00DD5260"/>
    <w:rsid w:val="00DD7C8A"/>
    <w:rsid w:val="00DE0C69"/>
    <w:rsid w:val="00DE2878"/>
    <w:rsid w:val="00DE3425"/>
    <w:rsid w:val="00DE4168"/>
    <w:rsid w:val="00DF246C"/>
    <w:rsid w:val="00DF2E41"/>
    <w:rsid w:val="00DF3B40"/>
    <w:rsid w:val="00DF45D0"/>
    <w:rsid w:val="00DF5207"/>
    <w:rsid w:val="00E01BE7"/>
    <w:rsid w:val="00E03DE9"/>
    <w:rsid w:val="00E04286"/>
    <w:rsid w:val="00E06498"/>
    <w:rsid w:val="00E0704C"/>
    <w:rsid w:val="00E07889"/>
    <w:rsid w:val="00E1086C"/>
    <w:rsid w:val="00E11E6F"/>
    <w:rsid w:val="00E13712"/>
    <w:rsid w:val="00E15293"/>
    <w:rsid w:val="00E17D93"/>
    <w:rsid w:val="00E20980"/>
    <w:rsid w:val="00E20F84"/>
    <w:rsid w:val="00E24419"/>
    <w:rsid w:val="00E273BE"/>
    <w:rsid w:val="00E27B14"/>
    <w:rsid w:val="00E3291E"/>
    <w:rsid w:val="00E32CC1"/>
    <w:rsid w:val="00E35D64"/>
    <w:rsid w:val="00E36D9D"/>
    <w:rsid w:val="00E36FE7"/>
    <w:rsid w:val="00E375FC"/>
    <w:rsid w:val="00E46245"/>
    <w:rsid w:val="00E51538"/>
    <w:rsid w:val="00E51BA4"/>
    <w:rsid w:val="00E55C0A"/>
    <w:rsid w:val="00E562F8"/>
    <w:rsid w:val="00E568EB"/>
    <w:rsid w:val="00E57D34"/>
    <w:rsid w:val="00E67147"/>
    <w:rsid w:val="00E6780B"/>
    <w:rsid w:val="00E7493B"/>
    <w:rsid w:val="00E807DA"/>
    <w:rsid w:val="00E83B35"/>
    <w:rsid w:val="00E92AAE"/>
    <w:rsid w:val="00E93D0E"/>
    <w:rsid w:val="00EA1626"/>
    <w:rsid w:val="00EA3C14"/>
    <w:rsid w:val="00EA5584"/>
    <w:rsid w:val="00EA5BF7"/>
    <w:rsid w:val="00EA71F8"/>
    <w:rsid w:val="00EB3C38"/>
    <w:rsid w:val="00EB6300"/>
    <w:rsid w:val="00EB6EEC"/>
    <w:rsid w:val="00EB73AC"/>
    <w:rsid w:val="00EC28C4"/>
    <w:rsid w:val="00EC45E9"/>
    <w:rsid w:val="00EC5743"/>
    <w:rsid w:val="00ED0A37"/>
    <w:rsid w:val="00ED27D1"/>
    <w:rsid w:val="00ED45B6"/>
    <w:rsid w:val="00ED7578"/>
    <w:rsid w:val="00EE238B"/>
    <w:rsid w:val="00EE246B"/>
    <w:rsid w:val="00EE288C"/>
    <w:rsid w:val="00EE3D1A"/>
    <w:rsid w:val="00EE3ED9"/>
    <w:rsid w:val="00EE4E08"/>
    <w:rsid w:val="00EE7C26"/>
    <w:rsid w:val="00EF09CA"/>
    <w:rsid w:val="00EF100C"/>
    <w:rsid w:val="00EF5C49"/>
    <w:rsid w:val="00F002A9"/>
    <w:rsid w:val="00F006BF"/>
    <w:rsid w:val="00F009BA"/>
    <w:rsid w:val="00F01290"/>
    <w:rsid w:val="00F02A56"/>
    <w:rsid w:val="00F034C0"/>
    <w:rsid w:val="00F07903"/>
    <w:rsid w:val="00F1284D"/>
    <w:rsid w:val="00F135AC"/>
    <w:rsid w:val="00F16B66"/>
    <w:rsid w:val="00F170FC"/>
    <w:rsid w:val="00F23F86"/>
    <w:rsid w:val="00F2451D"/>
    <w:rsid w:val="00F2530F"/>
    <w:rsid w:val="00F260E9"/>
    <w:rsid w:val="00F273F4"/>
    <w:rsid w:val="00F3253C"/>
    <w:rsid w:val="00F329D7"/>
    <w:rsid w:val="00F34B4B"/>
    <w:rsid w:val="00F36A2F"/>
    <w:rsid w:val="00F371CE"/>
    <w:rsid w:val="00F41895"/>
    <w:rsid w:val="00F4373D"/>
    <w:rsid w:val="00F56038"/>
    <w:rsid w:val="00F57353"/>
    <w:rsid w:val="00F61810"/>
    <w:rsid w:val="00F63417"/>
    <w:rsid w:val="00F643A6"/>
    <w:rsid w:val="00F64596"/>
    <w:rsid w:val="00F65D3B"/>
    <w:rsid w:val="00F70B6A"/>
    <w:rsid w:val="00F73CD5"/>
    <w:rsid w:val="00F7418C"/>
    <w:rsid w:val="00F74686"/>
    <w:rsid w:val="00F77958"/>
    <w:rsid w:val="00F81474"/>
    <w:rsid w:val="00F83135"/>
    <w:rsid w:val="00F85229"/>
    <w:rsid w:val="00F86AF3"/>
    <w:rsid w:val="00F87EF5"/>
    <w:rsid w:val="00F9014F"/>
    <w:rsid w:val="00F93402"/>
    <w:rsid w:val="00F96B9A"/>
    <w:rsid w:val="00FA7124"/>
    <w:rsid w:val="00FB1314"/>
    <w:rsid w:val="00FB2628"/>
    <w:rsid w:val="00FC007F"/>
    <w:rsid w:val="00FC20E7"/>
    <w:rsid w:val="00FC32BA"/>
    <w:rsid w:val="00FC575B"/>
    <w:rsid w:val="00FD1959"/>
    <w:rsid w:val="00FD3C1C"/>
    <w:rsid w:val="00FD5332"/>
    <w:rsid w:val="00FD5892"/>
    <w:rsid w:val="00FD7300"/>
    <w:rsid w:val="00FE6993"/>
    <w:rsid w:val="00FE7592"/>
    <w:rsid w:val="00FF2B32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83A14"/>
  <w15:docId w15:val="{1A97E6AB-5734-4829-959D-67B10D22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9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2691-119A-4027-84A4-AA2E4E02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9</cp:revision>
  <cp:lastPrinted>2023-08-09T03:12:00Z</cp:lastPrinted>
  <dcterms:created xsi:type="dcterms:W3CDTF">2023-08-07T04:31:00Z</dcterms:created>
  <dcterms:modified xsi:type="dcterms:W3CDTF">2023-08-09T03:12:00Z</dcterms:modified>
</cp:coreProperties>
</file>