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351" w:type="dxa"/>
        <w:tblInd w:w="4786" w:type="dxa"/>
        <w:tblLook w:val="01E0" w:firstRow="1" w:lastRow="1" w:firstColumn="1" w:lastColumn="1" w:noHBand="0" w:noVBand="0"/>
      </w:tblPr>
      <w:tblGrid>
        <w:gridCol w:w="5351"/>
      </w:tblGrid>
      <w:tr>
        <w:trPr/>
        <w:tc>
          <w:tcPr>
            <w:shd w:val="clear" w:color="auto" w:fill="auto"/>
            <w:tcW w:w="5351" w:type="dxa"/>
            <w:textDirection w:val="lrTb"/>
            <w:noWrap w:val="false"/>
          </w:tcPr>
          <w:p>
            <w:pPr>
              <w:pStyle w:val="847"/>
              <w:ind w:righ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Правительства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righ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1"/>
        <w:jc w:val="center"/>
      </w:pPr>
      <w:r>
        <w:t xml:space="preserve">О в</w:t>
      </w:r>
      <w:r>
        <w:t xml:space="preserve">несении изменений в постановление Правительства Новосибирской области от 12.05.2022 № 203-п </w:t>
      </w:r>
      <w:r/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1"/>
        <w:ind w:firstLine="709"/>
      </w:pPr>
      <w:r>
        <w:rPr>
          <w:szCs w:val="28"/>
        </w:rPr>
        <w:t xml:space="preserve">Правительство Новосибирской области </w:t>
      </w:r>
      <w:r>
        <w:rPr>
          <w:b/>
          <w:bCs/>
          <w:szCs w:val="28"/>
        </w:rPr>
        <w:t xml:space="preserve">п о с т а н о в л я е т</w:t>
      </w:r>
      <w:r>
        <w:rPr>
          <w:szCs w:val="28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нести </w:t>
      </w:r>
      <w:r>
        <w:rPr>
          <w:sz w:val="28"/>
          <w:szCs w:val="28"/>
          <w:highlight w:val="none"/>
        </w:rPr>
        <w:t xml:space="preserve">в постановление Правительства Новосибирской области от 12.05.2022 № 203-п «О порядке создания, использования и восполнения резервов материальных ресурсов Новосибирской области для ликвидации чрезвычайных ситуаций межмуниципального и регионального характера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Положении о </w:t>
      </w:r>
      <w:r>
        <w:rPr>
          <w:sz w:val="28"/>
          <w:szCs w:val="28"/>
          <w:highlight w:val="white"/>
        </w:rPr>
        <w:t xml:space="preserve">порядке создания, использования и восполнения резервов материальных ресурсов Новосибирской области для ликвидации чре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звычайных ситуаций межмуниципального и регионального характера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ункт 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дополнить абзацем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«В 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оответствии с решением комиссии по предупреждени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ю и ликвидации чрезвычайных ситуаций и обеспечению пожарной безопасности Новосибирской области или протоколом совещания под руководством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Губернатора Новосибир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или его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заместителей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средства Резерва могут быть использованы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для мобилизационных мероприятий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пункт 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Бюджетная заявка для создания Резерва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очередной финансовый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представляется в министерство финансов и налоговой политики Новосибирской области не позднее 10 сентября текущего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 пункт 14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Использование материальных ресурсов из Резервов осуществляется на основании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нормативных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правовых актов областных исполнител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ьных органов Новосибирс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ой области, на которые возложены функции по созданию Резерва, или в соответствии с решениями комиссии по предупреждению и ликвидации чрезвычайных ситуаций и обеспечению пожарной безопасности Новосибирской области, протоколами совещаний под руководством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Губернатора Новосибирской области или его заместителей.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Правительством Новосибирской области может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быть принято решение о выдаче материальн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ых ресурсов Резерва в качестве гуманитарной помощи для предупр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еждения и ликвидации чрезвычайных ситуаций в других субъектах Российской Федерации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в случае обращения высшего должностного лица субъекта Российской Федерации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в Правительство Новосибирской области.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Данное решение оформляется нормативным правовым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актом Правительства Ново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сибирской области.».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white"/>
        </w:rPr>
        <w:t xml:space="preserve"> пункт 16 дополнить абзацами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Комиссией по предупреждению и ликвидации чрезвычайных ситуаций и обеспечению пожарной безопасности Новосибирской области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может быть принято </w:t>
      </w:r>
      <w:r>
        <w:rPr>
          <w:sz w:val="28"/>
          <w:szCs w:val="28"/>
          <w:highlight w:val="white"/>
        </w:rPr>
        <w:t xml:space="preserve">решение о нецелесообразности возврата материальных средств, используемых для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ликвидации чрезвычайных ситуаций межмуниципального и регионального характера, в Резерв.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Данное решение оформляется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нормативным правовым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актом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областного исполнительного органа Новосибирской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, на который возложены функции по созданию Резерва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отдельных случаях, на основании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нормативных правовы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актов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областных исполнительных органов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на которые возложены функции по созданию Резерва,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создание, восполнение, освежение и замена материальных ресурсов Резерва может осуществляться за счет средств организаций, осуществл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яющих </w:t>
      </w:r>
      <w:r>
        <w:rPr>
          <w:sz w:val="28"/>
          <w:szCs w:val="28"/>
          <w:highlight w:val="white"/>
        </w:rPr>
        <w:t xml:space="preserve">размещение, хранение, учет и обслуживание материальных ресурсов Резерва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д) пункт 17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дополнить абзаце</w:t>
      </w:r>
      <w:r>
        <w:rPr>
          <w:sz w:val="28"/>
          <w:szCs w:val="28"/>
          <w:highlight w:val="none"/>
        </w:rPr>
        <w:t xml:space="preserve">м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«Восполнение материальных ресурсов Резерва может осуществляться за счет материальных ресурсов, переданных Правительству</w:t>
      </w:r>
      <w:r>
        <w:rPr>
          <w:sz w:val="28"/>
          <w:szCs w:val="28"/>
          <w:highlight w:val="none"/>
        </w:rPr>
        <w:t xml:space="preserve"> Новосибирской области от органов исполнительной власти Российской Федерации, субъектов Российской Федерации, юридических и физических лиц для ликвидации возникших на территории области чрезвычайных ситуаций и их последствий.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 Н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</w:rPr>
          <w:t xml:space="preserve">оменклатуру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 и объемы резерва материальных ресурсов Новосибирской области для ликвидации чрезвычайных ситуаций межмуниципального и регионального характер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а изл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ожить в редакции согласно приложению к настоящему постановлению.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1"/>
        <w:ind w:firstLine="709"/>
      </w:pPr>
      <w:r/>
      <w:r/>
    </w:p>
    <w:p>
      <w:pPr>
        <w:pStyle w:val="851"/>
        <w:ind w:firstLine="709"/>
        <w:jc w:val="left"/>
      </w:pPr>
      <w:r/>
      <w:r/>
    </w:p>
    <w:p>
      <w:pPr>
        <w:pStyle w:val="851"/>
        <w:jc w:val="left"/>
      </w:pPr>
      <w:r>
        <w:t xml:space="preserve">Губернатор Новосибирской области                                                  А.А. Травников</w:t>
      </w:r>
      <w:r/>
    </w:p>
    <w:p>
      <w:r/>
      <w:r/>
    </w:p>
    <w:p>
      <w:pPr>
        <w:pStyle w:val="851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sz w:val="20"/>
        </w:rPr>
      </w:pPr>
      <w:r>
        <w:rPr>
          <w:sz w:val="20"/>
        </w:rPr>
        <w:t xml:space="preserve">Д.Н. Архипов</w:t>
      </w:r>
      <w:r>
        <w:rPr>
          <w:sz w:val="20"/>
        </w:rPr>
      </w:r>
      <w:r>
        <w:rPr>
          <w:sz w:val="20"/>
        </w:rPr>
      </w:r>
    </w:p>
    <w:p>
      <w:pPr>
        <w:pStyle w:val="851"/>
        <w:rPr>
          <w:sz w:val="20"/>
          <w:szCs w:val="20"/>
          <w:highlight w:val="none"/>
        </w:rPr>
      </w:pPr>
      <w:r>
        <w:rPr>
          <w:sz w:val="20"/>
        </w:rPr>
        <w:t xml:space="preserve">238-76-09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00"/>
      <w:numFmt w:val="bullet"/>
      <w:isLgl w:val="false"/>
      <w:suff w:val="tab"/>
      <w:lvlText w:val="-"/>
      <w:lvlJc w:val="left"/>
      <w:pPr>
        <w:ind w:left="1157" w:hanging="360"/>
        <w:tabs>
          <w:tab w:val="num" w:pos="115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7" w:hanging="360"/>
        <w:tabs>
          <w:tab w:val="num" w:pos="151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7" w:hanging="360"/>
        <w:tabs>
          <w:tab w:val="num" w:pos="223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7" w:hanging="360"/>
        <w:tabs>
          <w:tab w:val="num" w:pos="295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7" w:hanging="360"/>
        <w:tabs>
          <w:tab w:val="num" w:pos="367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7" w:hanging="360"/>
        <w:tabs>
          <w:tab w:val="num" w:pos="439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7" w:hanging="360"/>
        <w:tabs>
          <w:tab w:val="num" w:pos="511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7" w:hanging="360"/>
        <w:tabs>
          <w:tab w:val="num" w:pos="583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7" w:hanging="360"/>
        <w:tabs>
          <w:tab w:val="num" w:pos="6557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10" w:hanging="360"/>
        <w:tabs>
          <w:tab w:val="num" w:pos="20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30" w:hanging="180"/>
        <w:tabs>
          <w:tab w:val="num" w:pos="27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50" w:hanging="360"/>
        <w:tabs>
          <w:tab w:val="num" w:pos="34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70" w:hanging="360"/>
        <w:tabs>
          <w:tab w:val="num" w:pos="41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90" w:hanging="180"/>
        <w:tabs>
          <w:tab w:val="num" w:pos="48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10" w:hanging="360"/>
        <w:tabs>
          <w:tab w:val="num" w:pos="56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30" w:hanging="360"/>
        <w:tabs>
          <w:tab w:val="num" w:pos="63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50" w:hanging="180"/>
        <w:tabs>
          <w:tab w:val="num" w:pos="705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hanging="360"/>
        <w:tabs>
          <w:tab w:val="num" w:pos="15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  <w:tabs>
          <w:tab w:val="num" w:pos="87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  <w:tabs>
          <w:tab w:val="num" w:pos="159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  <w:tabs>
          <w:tab w:val="num" w:pos="231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  <w:tabs>
          <w:tab w:val="num" w:pos="303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  <w:tabs>
          <w:tab w:val="num" w:pos="375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  <w:tabs>
          <w:tab w:val="num" w:pos="447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  <w:tabs>
          <w:tab w:val="num" w:pos="519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  <w:tabs>
          <w:tab w:val="num" w:pos="5913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8"/>
    <w:link w:val="845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848"/>
    <w:link w:val="846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848"/>
    <w:link w:val="847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4"/>
    <w:next w:val="844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8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4"/>
    <w:next w:val="844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8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8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8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8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8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4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8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8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8"/>
    <w:link w:val="695"/>
    <w:uiPriority w:val="99"/>
  </w:style>
  <w:style w:type="paragraph" w:styleId="697">
    <w:name w:val="Footer"/>
    <w:basedOn w:val="84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8"/>
    <w:link w:val="697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8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8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paragraph" w:styleId="845">
    <w:name w:val="Heading 1"/>
    <w:basedOn w:val="844"/>
    <w:next w:val="844"/>
    <w:link w:val="853"/>
    <w:qFormat/>
    <w:pPr>
      <w:keepNext/>
      <w:outlineLvl w:val="0"/>
    </w:pPr>
    <w:rPr>
      <w:sz w:val="28"/>
    </w:rPr>
  </w:style>
  <w:style w:type="paragraph" w:styleId="846">
    <w:name w:val="Heading 2"/>
    <w:basedOn w:val="844"/>
    <w:next w:val="844"/>
    <w:qFormat/>
    <w:pPr>
      <w:jc w:val="center"/>
      <w:keepNext/>
      <w:outlineLvl w:val="1"/>
    </w:pPr>
    <w:rPr>
      <w:b/>
      <w:sz w:val="28"/>
    </w:rPr>
  </w:style>
  <w:style w:type="paragraph" w:styleId="847">
    <w:name w:val="Heading 3"/>
    <w:basedOn w:val="844"/>
    <w:next w:val="844"/>
    <w:qFormat/>
    <w:pPr>
      <w:ind w:right="-1093"/>
      <w:jc w:val="right"/>
      <w:keepNext/>
      <w:outlineLvl w:val="2"/>
    </w:pPr>
    <w:rPr>
      <w:sz w:val="24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Body Text"/>
    <w:basedOn w:val="844"/>
    <w:pPr>
      <w:jc w:val="both"/>
    </w:pPr>
    <w:rPr>
      <w:sz w:val="28"/>
    </w:rPr>
  </w:style>
  <w:style w:type="paragraph" w:styleId="852">
    <w:name w:val="Balloon Text"/>
    <w:basedOn w:val="844"/>
    <w:semiHidden/>
    <w:rPr>
      <w:rFonts w:ascii="Tahoma" w:hAnsi="Tahoma" w:cs="Tahoma"/>
      <w:sz w:val="16"/>
      <w:szCs w:val="16"/>
    </w:rPr>
  </w:style>
  <w:style w:type="character" w:styleId="853" w:customStyle="1">
    <w:name w:val="Заголовок 1 Знак"/>
    <w:link w:val="845"/>
    <w:rPr>
      <w:sz w:val="28"/>
      <w:lang w:val="ru-RU" w:eastAsia="ru-RU" w:bidi="ar-SA"/>
    </w:rPr>
  </w:style>
  <w:style w:type="table" w:styleId="854">
    <w:name w:val="Table Grid"/>
    <w:basedOn w:val="84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5" w:customStyle="1">
    <w:name w:val="Знак Знак1 Знак"/>
    <w:basedOn w:val="844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56" w:customStyle="1">
    <w:name w:val="Знак Знак1 Знак Знак Знак Знак"/>
    <w:basedOn w:val="844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57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User75</dc:creator>
  <cp:keywords/>
  <cp:revision>38</cp:revision>
  <dcterms:created xsi:type="dcterms:W3CDTF">2023-06-02T08:21:00Z</dcterms:created>
  <dcterms:modified xsi:type="dcterms:W3CDTF">2024-02-02T08:56:02Z</dcterms:modified>
</cp:coreProperties>
</file>