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572"/>
        <w:gridCol w:w="6472"/>
        <w:gridCol w:w="567"/>
        <w:gridCol w:w="1420"/>
      </w:tblGrid>
      <w:tr>
        <w:trPr>
          <w:trHeight w:val="2412"/>
        </w:trPr>
        <w:tc>
          <w:tcPr>
            <w:gridSpan w:val="4"/>
            <w:tcW w:w="10031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1905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15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 принятия решения об отмене, изменении, в том числе продлении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срока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сполнения требования министерства труда и социального развития Новосибирской области об устранении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ходе проверки нарушений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пункта 35 </w:t>
      </w:r>
      <w:r>
        <w:rPr>
          <w:rFonts w:ascii="Times New Roman" w:hAnsi="Times New Roman" w:cs="Times New Roman"/>
          <w:sz w:val="28"/>
          <w:szCs w:val="28"/>
        </w:rPr>
        <w:t xml:space="preserve">Порядка осуществления областными исполнительными органами государственной власти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подведомственных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области, утвержденного постановлением Правительства Новосибирской области от 21.03.2017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112-п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</w:t>
      </w:r>
      <w:r>
        <w:rPr>
          <w:rFonts w:ascii="Times New Roman" w:hAnsi="Times New Roman" w:cs="Times New Roman"/>
          <w:sz w:val="28"/>
          <w:szCs w:val="28"/>
        </w:rPr>
        <w:t xml:space="preserve">ний Новосибирской области, государственных казенных учреждений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Установить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об отмене, изменении, в том числе продлении срока исполнения требования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об устранении выявленных в ходе проверки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Е.В. </w:t>
      </w:r>
      <w:r>
        <w:rPr>
          <w:sz w:val="28"/>
          <w:szCs w:val="28"/>
        </w:rPr>
        <w:t xml:space="preserve">Бахарева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center"/>
        <w:spacing w:after="0" w:line="240" w:lineRule="auto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hanging="284"/>
        <w:jc w:val="center"/>
        <w:spacing w:after="0" w:line="240" w:lineRule="auto"/>
        <w:tabs>
          <w:tab w:val="left" w:pos="637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принятия решения об отмене, изменении, в том числе продлении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сполнения требования министерства труда и социального развития Новосибирской области об устранении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ходе проверки нарушений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принятия решения об отмене, изменении, в том числе продлении срока исполнения требования министерства труда и социального развития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 об устранении нарушений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требование)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выявленных в ходе осуществления контроля за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ему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подведомственные учреждения).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Контроль (мониторинг) за исполнением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подведомственными учреждениями осуществляет отдел внутриведомственного контроля министерства (далее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 внутриведомственного контроля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для принятия решения об отмене, изменении, в том числе продлении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исполнения требования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поступление в министерс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тво письменного ходатайства подведомственного учреждения об отмене, изменении, в том числе продлении срока исполнения требования (далее – ходатайство), содержащего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об объективной мотивированной невозможности исполнения требования c приложением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документов (материалов),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заверенных в установленном порядке.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Подведомственное учреждение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направляет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одатайство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не позднее чем за пять рабочих дней до истечения срока исполнения требования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Отдел внутриведомственного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окладн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одним из следующих предложений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докладная записка):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об отмене, изменении, в том числе продлении срока исполнения требования;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об отказе в удовлетворении ходатайства (в случае признания причин невозможности исполнения требования, приведенных в ходатайстве, </w:t>
      </w:r>
      <w:r>
        <w:rPr>
          <w:rFonts w:ascii="Times New Roman" w:hAnsi="Times New Roman" w:cs="Times New Roman"/>
          <w:sz w:val="28"/>
          <w:szCs w:val="28"/>
        </w:rPr>
        <w:t xml:space="preserve">необоснованными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отмене, изменении, в том числе продлении срока исполнения требования, либо об отказе в удовлетворении ходатайства принимается министром по результатам рассмотрения докладной записки.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При согласии с предложениями, подготовленными </w:t>
      </w:r>
      <w:r>
        <w:rPr>
          <w:rFonts w:ascii="Times New Roman" w:hAnsi="Times New Roman" w:cs="Times New Roman"/>
          <w:sz w:val="28"/>
          <w:szCs w:val="28"/>
        </w:rPr>
        <w:t xml:space="preserve">отделом внутриведомственного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министр осуществляет согласование докладной записки и передает </w:t>
      </w:r>
      <w:r>
        <w:rPr>
          <w:rFonts w:ascii="Times New Roman" w:hAnsi="Times New Roman" w:cs="Times New Roman"/>
          <w:sz w:val="28"/>
          <w:szCs w:val="28"/>
        </w:rPr>
        <w:t xml:space="preserve">ее в отдел в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нутриведомственного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для уведомления подведомственного учреждения о принятом решении.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0" w:right="0" w:firstLine="709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несогласии с подготовленными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отделом внутриведомственного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предложениями 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вносит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докладную записку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необходимые коррективы и передает 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отдел внутриведомственного контроля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доработки.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4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тдел внутриведомственного контроля в течение пяти рабочих дней, если иной срок не установлен министром, дорабатывает докладную записку и передает </w:t>
      </w:r>
      <w:r>
        <w:rPr>
          <w:rFonts w:ascii="Times New Roman" w:hAnsi="Times New Roman" w:cs="Times New Roman"/>
          <w:sz w:val="28"/>
          <w:szCs w:val="28"/>
        </w:rPr>
        <w:t xml:space="preserve">ее министру для повторного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Датой принятия решения об </w:t>
      </w:r>
      <w:r>
        <w:rPr>
          <w:rFonts w:ascii="Times New Roman" w:hAnsi="Times New Roman" w:cs="Times New Roman"/>
          <w:sz w:val="28"/>
          <w:szCs w:val="28"/>
        </w:rPr>
        <w:t xml:space="preserve">отмене, изменении, в том числе продлении срока исполнения требования, либо об отказе в удовлетворении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считается резолюция министра на докладной записке.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</w:t>
      </w:r>
      <w:r>
        <w:rPr>
          <w:rFonts w:ascii="Times New Roman" w:hAnsi="Times New Roman" w:cs="Times New Roman"/>
          <w:sz w:val="28"/>
          <w:szCs w:val="28"/>
        </w:rPr>
        <w:t xml:space="preserve">Отдел внутриведомственного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министром уведомляет о принятом решении подведомственное учреждение в письменном виде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64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15"/>
  </w:num>
  <w:num w:numId="13">
    <w:abstractNumId w:val="4"/>
  </w:num>
  <w:num w:numId="14">
    <w:abstractNumId w:val="0"/>
  </w:num>
  <w:num w:numId="15">
    <w:abstractNumId w:val="2"/>
  </w:num>
  <w:num w:numId="16">
    <w:abstractNumId w:val="1"/>
  </w:num>
  <w:num w:numId="17">
    <w:abstractNumId w:val="1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721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694">
    <w:name w:val="Heading 2"/>
    <w:basedOn w:val="692"/>
    <w:next w:val="692"/>
    <w:link w:val="722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95">
    <w:name w:val="Heading 3"/>
    <w:basedOn w:val="692"/>
    <w:next w:val="692"/>
    <w:link w:val="723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96">
    <w:name w:val="Heading 4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Caption Char"/>
    <w:uiPriority w:val="99"/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692"/>
    <w:next w:val="692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2"/>
    <w:link w:val="730"/>
    <w:uiPriority w:val="10"/>
    <w:rPr>
      <w:sz w:val="48"/>
      <w:szCs w:val="48"/>
    </w:rPr>
  </w:style>
  <w:style w:type="paragraph" w:styleId="732">
    <w:name w:val="Subtitle"/>
    <w:basedOn w:val="692"/>
    <w:next w:val="692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2"/>
    <w:link w:val="732"/>
    <w:uiPriority w:val="11"/>
    <w:rPr>
      <w:sz w:val="24"/>
      <w:szCs w:val="24"/>
    </w:rPr>
  </w:style>
  <w:style w:type="paragraph" w:styleId="734">
    <w:name w:val="Quote"/>
    <w:basedOn w:val="692"/>
    <w:next w:val="692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2"/>
    <w:next w:val="692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2"/>
    <w:uiPriority w:val="99"/>
  </w:style>
  <w:style w:type="character" w:styleId="739" w:customStyle="1">
    <w:name w:val="Footer Char"/>
    <w:basedOn w:val="702"/>
    <w:uiPriority w:val="99"/>
  </w:style>
  <w:style w:type="paragraph" w:styleId="740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 w:customStyle="1">
    <w:name w:val="Нижний колонтитул Знак"/>
    <w:link w:val="886"/>
    <w:uiPriority w:val="99"/>
  </w:style>
  <w:style w:type="table" w:styleId="742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basedOn w:val="70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0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basedOn w:val="70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basedOn w:val="70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basedOn w:val="70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basedOn w:val="70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basedOn w:val="70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692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02"/>
    <w:uiPriority w:val="99"/>
    <w:unhideWhenUsed/>
    <w:rPr>
      <w:vertAlign w:val="superscript"/>
    </w:rPr>
  </w:style>
  <w:style w:type="paragraph" w:styleId="871">
    <w:name w:val="endnote text"/>
    <w:basedOn w:val="692"/>
    <w:link w:val="872"/>
    <w:uiPriority w:val="99"/>
    <w:semiHidden/>
    <w:unhideWhenUsed/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2"/>
    <w:uiPriority w:val="99"/>
    <w:semiHidden/>
    <w:unhideWhenUsed/>
    <w:rPr>
      <w:vertAlign w:val="superscript"/>
    </w:rPr>
  </w:style>
  <w:style w:type="paragraph" w:styleId="874">
    <w:name w:val="toc 1"/>
    <w:basedOn w:val="692"/>
    <w:next w:val="692"/>
    <w:uiPriority w:val="39"/>
    <w:unhideWhenUsed/>
    <w:pPr>
      <w:spacing w:after="57"/>
    </w:pPr>
  </w:style>
  <w:style w:type="paragraph" w:styleId="875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6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7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8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9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0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1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2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2"/>
    <w:next w:val="692"/>
    <w:uiPriority w:val="99"/>
    <w:unhideWhenUsed/>
  </w:style>
  <w:style w:type="paragraph" w:styleId="885">
    <w:name w:val="Header"/>
    <w:basedOn w:val="692"/>
    <w:link w:val="891"/>
    <w:uiPriority w:val="99"/>
    <w:pPr>
      <w:tabs>
        <w:tab w:val="center" w:pos="4677" w:leader="none"/>
        <w:tab w:val="right" w:pos="9355" w:leader="none"/>
      </w:tabs>
    </w:pPr>
  </w:style>
  <w:style w:type="paragraph" w:styleId="886">
    <w:name w:val="Footer"/>
    <w:basedOn w:val="692"/>
    <w:link w:val="741"/>
    <w:pPr>
      <w:tabs>
        <w:tab w:val="center" w:pos="4677" w:leader="none"/>
        <w:tab w:val="right" w:pos="9355" w:leader="none"/>
      </w:tabs>
    </w:pPr>
  </w:style>
  <w:style w:type="paragraph" w:styleId="887">
    <w:name w:val="Balloon Text"/>
    <w:basedOn w:val="692"/>
    <w:semiHidden/>
    <w:rPr>
      <w:rFonts w:ascii="Tahoma" w:hAnsi="Tahoma" w:cs="Tahoma"/>
      <w:sz w:val="16"/>
      <w:szCs w:val="16"/>
    </w:rPr>
  </w:style>
  <w:style w:type="table" w:styleId="888">
    <w:name w:val="Table Grid"/>
    <w:basedOn w:val="7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List Paragraph"/>
    <w:basedOn w:val="692"/>
    <w:uiPriority w:val="34"/>
    <w:qFormat/>
    <w:pPr>
      <w:contextualSpacing/>
      <w:ind w:left="720"/>
    </w:pPr>
  </w:style>
  <w:style w:type="table" w:styleId="890" w:customStyle="1">
    <w:name w:val="Сетка таблицы1"/>
    <w:basedOn w:val="703"/>
    <w:next w:val="888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1" w:customStyle="1">
    <w:name w:val="Верхний колонтитул Знак"/>
    <w:basedOn w:val="702"/>
    <w:link w:val="885"/>
    <w:uiPriority w:val="99"/>
  </w:style>
  <w:style w:type="table" w:styleId="892" w:customStyle="1">
    <w:name w:val="Сетка таблицы2"/>
    <w:basedOn w:val="703"/>
    <w:next w:val="888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Body Text Indent"/>
    <w:basedOn w:val="863"/>
    <w:link w:val="881"/>
    <w:uiPriority w:val="99"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D3BD-8F32-48FD-AEC4-5E9CD69A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40</cp:revision>
  <dcterms:created xsi:type="dcterms:W3CDTF">2022-09-19T09:15:00Z</dcterms:created>
  <dcterms:modified xsi:type="dcterms:W3CDTF">2024-07-02T04:41:18Z</dcterms:modified>
</cp:coreProperties>
</file>