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7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7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54"/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Приложение № 20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5954"/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к постановлению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5954"/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Правительства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 16.02.2015 № 66-п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7"/>
        <w:ind w:left="496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9"/>
        <w:jc w:val="center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ПОРЯДОК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033"/>
        <w:ind w:firstLine="709"/>
        <w:jc w:val="center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условия предоставления субсидии из областного бюджета Новосибирской области на проведение капитального ремонта общего имущества в многоквартирных домах, расположенных на территории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33"/>
        <w:ind w:firstLine="709"/>
        <w:jc w:val="center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Настоящий Порядок разработан в соответствии с частью 1 статьи 191 Жилищного кодекса Российской Федерации (далее – ЖК РФ),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постановлением Правительства Российской Федерации от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25.10.2023 № 1782 «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пунктом 9 части 2 статьи 2 Закона Новосибирской области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05.07.2013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№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360-ОЗ «Об организации проведения капитального ремонта общего имущества в многоквартирных домах, расположенных на территории Новосибирской области»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(далее – Закон Новосибирской области № 360-ОЗ)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</w:r>
      <w:r/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2. Субсидия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 проведение капитального ремонта общего имущества в многоквартирных домах за счет средств областного бюджета Новосибирской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области (далее - государственная поддержка) - безвозмездное и безвозвратное предоставление средств областного бюджета Новосибирской области в форме субсидий, объем которых определяется в областном бюджете Новосибирской области на очередной финансовый год.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Государственная поддержка предоставляется в пределах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бюджетных ассигнований и лимитов бюджетных обязательств, установленных главному распорядителю бюджетных средств на соответствующий финансовый год и плановый период по указанным направлениям расходов.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Государственная поддержка предоставляется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целях проведения капитального ремонта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общего имущества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многоквартирных домах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включенны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региональную программу капитального ремонта общего имущества в многоквартирных домах, расположенных на территории Новосибирской области, на 2014 - 2052 годы, утвержденную постановлением Правительства Новосибирской области от 27.11.2013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524-п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«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а также в краткосрочные планы реализации региональной программы капитального ремонта, утвержденные в соответствии со статьей 12 Закона Новосибирской области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360-ОЗ (далее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-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региональная программа капитального ремонта).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4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Уполномоч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енным органом по предоставлению государственной поддержки, главным распорядителем бюджетных средств, предоставляющим государственную поддержку, является министерство жилищно-коммунального хозяйства и энергетики Новосибирской области (далее - Министерство).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5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Государственная поддержка предоставляется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региональн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оператор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у, созданному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с Жилищным кодексом Российской Федерации (далее - региональный оператор)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6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Государственная поддержка предоставляется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выполнение работ по ремонту, замене, модернизации лифтов с истекшим назначенным сроком службы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включенным в региональную программу капитального ремонта текущего года, соответствующего периоду предоставления государственной поддержки.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7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Государственная поддержка носит целевой характер и не может быть использована на другие цели.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8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Государственная поддержка на проведение капитального ремонта общего имущества многоквартирного дома осуществляется при наличии мер муниципальной поддер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жки на проведение капитального ремонта общего имущества в многоквартирных домах за счет средств местных бюджетов в муниципальном образовании, на территории которого расположен многоквартирный дом. Объем муниципальной поддержки определяется органами местног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 самоуправления с учетом дифференцированного норматива, устанавливаемого приказом Министерства на основании данных министерства финансов и налоговой политики Новосибирской области о бюджетной обеспеченности муниципальных образований Новосибирской области.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9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Отбор получателей государственной поддержки осуществляется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посредств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запроса предложений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организаций, указанных в пункте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5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10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Сведения о государственной поддержке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размещаются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«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» (далее – единый портал)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разделе «Бюджет» в порядке, установленном Министерством финансов Российской Федерации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официальном сайте Министерства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по адресу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https://mjkh.nso.ru/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(далее - сайт министерства)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11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Отбор получателей государственной поддержки состоит из следующих этапов: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1) публикация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объявления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 проведении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получателей государственной поддержки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2) прием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заявлений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 предоставление мер государственной поддержки на проведение капитального ремонта общего имущества в многоквартирных домах </w:t>
        <w:tab/>
        <w:t xml:space="preserve">(далее –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аявка)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3) рассмотрение заявок;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4) подведение итог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проведения отбора получателей государственной поддержки.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12. 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На едином портале публикуется информация о странице официального сайта Министерства по адресу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https://mjkh.nso.ru/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(далее - сайт министерства), на котором размещается объявление о проведении отбора, о его отмене, информация о ходе и результатах отбора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Объявление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 проведении отбора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размещается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едином портале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на официальном сайте Министерства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не менее чем за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50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календарных дней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до наступления срока окончания приема заявок, установленного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частью 6 статьи 15 Закона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№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360-ОЗ.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Объявление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должно содержать: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дат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размещения объявления о проведении отбора на едином портале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официальном сайте Министерства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сроки проведения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: дата и время начала (окончания) подачи (приема) заявок участников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наименование, место нахождения, почтовый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адрес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 электронной почты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Министерства;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4) 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результаты предоставления государственной поддержки, установленные пунктам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и 37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астоящим Порядком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5) цели предоставления государственной поддержки, установленные частью 5 статьи 15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Закона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№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360-ОЗ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) 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доменное имя и (или) указатели страниц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 (далее -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система «Электронный бюджет»)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 в сети «Интернет», в случае проведения отбора в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системе «Электронный бюджет»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7)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требования,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предъявляемые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 участникам отбора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, установленным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установленные пунктам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14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25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настоящ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Порядк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перечню документов, представляемых участниками отбора для подтверждения их соответствия указанным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16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настоящего Порядка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8) критерии отбора;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9) 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категории получателей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государственной поддержки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, установленные пунктом 5 настоящего Порядка;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10)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порядок подачи заявок на государственную поддержку и требования, предъявляемые к форме и содержанию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установленны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ом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15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настоящего Порядка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11)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порядок отзыва заявок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возврата заявок, определяющий в том числе основания для возврата заявок, порядок внесения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изменений в заявки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государственную поддержку участниками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установленны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18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19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12)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рассмотрения и оценки заявок,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установленные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21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, 22, 23, 24, 25,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26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, 28, 29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настоящего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 Порядка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13) порядок возврата заявок на доработку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14)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сведения об общем объеме государственной поддержки, распределяемой в рамках отбора,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порядок расчета размера государственной поддержки, установленный правовым актом, правила распределения государственной поддержки по результатам отбора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15)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с указанием даты начала и окончания срока такого предоставления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установленных пунктом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13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наст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оящего Порядка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16)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сроки, 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которых победители отбора должны подписать соглашение о предоставлении государственной поддержки;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17)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условия признания победителя (победителей) отбора уклонившимся от заключения соглашения;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18) сроки размещения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результатов отбора на едином портале, а также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официальном сайте Министерства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которая не может быть позднее 14-го календарного дня, следующего за днем определения победителя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yellow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Срок приема заявок составляет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не менее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30 календарных дней, следующих за днем размещения объявления о проведении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 едином портале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на сайте Министерства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13. 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течение срока приема заявок Министерство осуществляет консультирование участников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отбора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 вопросам подготовки заявок путем письменных ответов на обращения, по телефону и при личном обращении представителя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Разъяснения положений объявления о приеме заявок предоставляются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течение пяти рабочих дней с момента поступления письменного обращения официальным письмом Министерства.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Ответ (разъяснени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положений) направляется по почтовому адресу либо по адресу электронной почты в зависимости от способа, указанного в обращении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14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В зависимости от выбранного собственниками помещений способа формирования фонда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заявку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государственную поддержку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представляют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региональн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ый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оператор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случае формирования фонда капитального ремонта на счете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(счетах)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регионального оператора;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случае формирования фонда капитального ремонта на специальном счете: 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а)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товариществ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собственников жилья, жилищн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жилищно-строительны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созданн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ые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ЖК РФ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в случае, есл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собственники помещений в многоквартирном доме приняли решение о формировании фонда капитального ремонта на специальном счете и определили товарищество собственников жилья, жилищный, жилищно-строительный кооператив в качестве владельца специального счета;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б)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управляющи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случаях, если собственники помещений в многоквартирном доме заключили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договор управления многоквартирным домом с управляющей организацией и приняли решение о формировании фонда капитального ремонта на специальном счете и определении управляющей организации или регионального оператора в качестве владельца специального счета;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региональн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ый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оператор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если собственниками пом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ещений в многоквартирном доме реализуется непосредственная форма управления многоквартирным домом и принято решение о формировании фонда капитального ремонта на специальном счете и определении регионального оператора в качестве владельца специального счета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(далее – Организации)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15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Для участия в отборе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 1 января 2024 года до 1 января 2025 года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представляют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Министерство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аявки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 предоставлении государственной поддержки.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Заявка может быть представлена лично, через представителя по доверенности, посредством почтового отправления, либо в электронном виде.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оформляется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 форме, утвержденной правовым актом Министерства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с указанием адреса многоквартирного дома, в котором планируется проведение капитального ремонта, перечня услуг и (или) работ по капитальному ремонту общего имущества в многоквартирном доме, почтового адреса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или адреса электронной почты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по которому должен быть направлен ответ, и подписывается руководителем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рганизации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письменном виде либо в форме электронного письма, подписанного электронной цифровой подписью.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/>
          <w:spacing w:val="2"/>
          <w:sz w:val="28"/>
          <w:szCs w:val="28"/>
        </w:rPr>
        <w:t xml:space="preserve">Заяв</w:t>
      </w:r>
      <w:r>
        <w:rPr>
          <w:rFonts w:ascii="Times New Roman" w:hAnsi="Times New Roman"/>
          <w:spacing w:val="2"/>
          <w:sz w:val="28"/>
          <w:szCs w:val="28"/>
        </w:rPr>
        <w:t xml:space="preserve">ка</w:t>
      </w:r>
      <w:r>
        <w:rPr>
          <w:rFonts w:ascii="Times New Roman" w:hAnsi="Times New Roman"/>
          <w:spacing w:val="2"/>
          <w:sz w:val="28"/>
          <w:szCs w:val="28"/>
        </w:rPr>
        <w:t xml:space="preserve"> обязательно должн</w:t>
      </w:r>
      <w:r>
        <w:rPr>
          <w:rFonts w:ascii="Times New Roman" w:hAnsi="Times New Roman"/>
          <w:spacing w:val="2"/>
          <w:sz w:val="28"/>
          <w:szCs w:val="28"/>
        </w:rPr>
        <w:t xml:space="preserve">а</w:t>
      </w:r>
      <w:r>
        <w:rPr>
          <w:rFonts w:ascii="Times New Roman" w:hAnsi="Times New Roman"/>
          <w:spacing w:val="2"/>
          <w:sz w:val="28"/>
          <w:szCs w:val="28"/>
        </w:rPr>
        <w:t xml:space="preserve"> содержать согласие участника отбора на публикацию</w:t>
      </w:r>
      <w:r>
        <w:rPr>
          <w:rFonts w:ascii="Times New Roman" w:hAnsi="Times New Roman"/>
          <w:spacing w:val="2"/>
          <w:sz w:val="28"/>
          <w:szCs w:val="28"/>
        </w:rPr>
        <w:t xml:space="preserve"> (размещение)</w:t>
      </w:r>
      <w:r>
        <w:rPr>
          <w:rFonts w:ascii="Times New Roman" w:hAnsi="Times New Roman"/>
          <w:spacing w:val="2"/>
          <w:sz w:val="28"/>
          <w:szCs w:val="28"/>
        </w:rPr>
        <w:t xml:space="preserve"> в информационно-телекоммуникационной сети «Интернет»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содержащейся в за</w:t>
      </w:r>
      <w:r>
        <w:rPr>
          <w:rFonts w:ascii="Times New Roman" w:hAnsi="Times New Roman"/>
          <w:sz w:val="28"/>
          <w:szCs w:val="28"/>
        </w:rPr>
        <w:t xml:space="preserve">явке на государственную поддержку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лица), </w:t>
      </w:r>
      <w:r>
        <w:rPr>
          <w:rFonts w:ascii="Times New Roman" w:hAnsi="Times New Roman"/>
          <w:sz w:val="28"/>
          <w:szCs w:val="28"/>
        </w:rPr>
        <w:t xml:space="preserve">и перечне документов, прилагаемых к заявке.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Для участия в отборе после 1 января 2025 года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рганизации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формируют заявку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представляют в систему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«Электронный бюджет»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электронные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копии документов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(документов на бумажном носителе, преобразованных в электронную форму путем сканирования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(далее – заявка)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Для подачи заявки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должны выполнить регистрацию в системе «Электронный бюджет»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венных и муниципальных услуг в электронной форме».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Регистрация Организации в системе «Электронный бюджет» осуществляется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Министерством либо иными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операторами системы.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Заявка подписывается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усиленной квалифицированной электронной подписью руководителя участника отбора или уполномоченного им лица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16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заявке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прилагаются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следующие документы: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копия протокола общего собрания собственников помещений в много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квартирном доме о принятии решения о проведении капитального ремонта общего имущества в этом многоквартирном доме, принятого в соответствии с частями 5 и 5.1 статьи 189 ЖК РФ, либо копия решения органа местного самоуправления о проведении капитального ремо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нта общего имущества в этом многоквартирном доме, принятого в соответствии с частью 6 статьи 189 ЖК РФ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информация от организации, производящей начисление взносов на капитальный ремонт, о размере начисленных, оплаченных и израсходованных средств фонда капитального ремонта,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 состоянию на 1 года, в котором будет осуществляться капитальный ремонт общего имущества в многоквартирном доме согласно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региональной программе капитального ремонта, нарастающим итогом с начала реализации региональной программы капитального ремонта, подтверждающая объем поступивших взносов на капитальный ремонт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проектно-сметная документация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выполнение работ по ремонту, замене, модернизации лифтов с истекшим назначенным сроком службы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4)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справка о стоимости лифтового оборудования, планируемого к установку, выданной заводом-изготовителем либо подрядной организацией, привлекаемой для выполнения работ по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ремонту, замене, модернизации лифтов с истекшим назначенным сроком службы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5)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копия технического заключение, свидетельствующая об истечении назначенного срока службы лифтовог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 оборудования, подлежащего замене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6)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наличие согласия участника отбора на осуществление министерством проверок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соблюдения порядка и условий предоставления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государственной поддержки,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том числе в части достижения результатов предоставления субсидии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17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Заявки направляются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не позднее сроков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установленны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частью 6 статьи 15 Закона Новосибирской области 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360-ОЗ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18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Участник отбора, представивший заявку,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вправе изменить или отозвать заявку до истечения срока подачи заявок путем направления в Министерство соответствующего заявления (обращения), либо формирования запроса в системе «Электронный бюджет» об изменении или отзыве заявки.</w:t>
      </w:r>
      <w:r>
        <w:rPr>
          <w:rFonts w:ascii="Times New Roman" w:hAnsi="Times New Roman" w:cs="Times New Roman"/>
          <w:spacing w:val="2"/>
          <w:sz w:val="28"/>
          <w:szCs w:val="28"/>
        </w:rPr>
      </w:r>
      <w:r/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Заявление (обращение) об изменении или отзыве заявки может быть представлено лично, через представителя по доверенности, посредством почтового отправления, либо в электронном виде.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Министерство направляет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участнику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уведомление о возврате заявки (далее - уведомление о возврате), в котором указывается информация о получении заявки, ее исключении из числа заявок, подлежащих рассмотрению Комиссией в соответствии с пунктом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22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насто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ящего Порядка.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Уведомление о возврате передается лично законному представителю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по месту нахождения Министерства, указанному в объявлении о проведении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или направляется по адресу, указанному 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заявке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почтовым отправлением заказным письмом с уведомлением о вручении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либо направляется по электронной почте, указанной в заявке, в случае представления заявки в форме электронного письма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подписанного электронной цифровой подписью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ведомление о возврате и прилагаемые к нему документы направляются в течение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10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календарных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дней с момента поступления заявления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рганизации.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Внесение изменений в заявку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осуществляется на основании заявления (обращения)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направляемого в адрес Министерства.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Изменение заявки или заявление (обращение) о ее отзыве является действительным, если заявление (обращение) об изменении или отзыве получено Министерством до истечения срока подачи заявок и подписано уполномоченным на то лицом.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Отозванные заявки не учитываются при определении количества заявок, представленных на участие 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отборе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Отзыв заявки не препятствует повторной подаче заявки со стороны участника отбора,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но не позднее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даты окончания приема заявок, указанной в объявлении о проведении отбора.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/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Возврат заявок на доработку Министерством не осуществляется.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19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аявка, поступившая после истечения срока подачи заявок, не рассматривается и возвращается в течение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10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 момента получения почтовым отправлением по адресу, указанному в заявлении (обращении), заказным письмом с уведомлением о вручении, либо передается лично законному представителю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по месту нахождения Министерства, указанному в объявлении о проведении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либо направляется в электронном виде на электронный адрес, указанный в заявке.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pacing w:val="2"/>
          <w:sz w:val="40"/>
          <w:szCs w:val="40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20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Министерство регистрирует заявки в день поступления 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течение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3 рабочих дней с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даты окончания приема заявок, указанной в объявлении о проведении отбора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направляет в органы местного самоуправления муниципальных образований Новосибирской области, на территории которых расположены многоквартирные дома, претендующие на предоставление мер государственной поддержки в текущем году, предложение 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финансировании целевых расходов по капитальному ремонту за счет средств местных бюджетов в соответствии с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8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 (далее - предложение).</w:t>
      </w:r>
      <w:r>
        <w:rPr>
          <w:rFonts w:ascii="Times New Roman" w:hAnsi="Times New Roman" w:cs="Times New Roman"/>
          <w:spacing w:val="2"/>
          <w:sz w:val="40"/>
          <w:szCs w:val="40"/>
        </w:rPr>
      </w:r>
      <w:r>
        <w:rPr>
          <w:rFonts w:ascii="Times New Roman" w:hAnsi="Times New Roman" w:cs="Times New Roman"/>
          <w:spacing w:val="2"/>
          <w:sz w:val="40"/>
          <w:szCs w:val="40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 В целях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рассмотрения поступивших заявок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Министерством создается комиссия по отбору получателей государственной поддержки (далее -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омиссия), которая проводит отбор путем рассмотрения и оценки заявок участников отбора. Комиссия действует в соответствии с Положением о комиссии по отбору получателей государственной поддержки (далее - Положение).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Положение о комиссии и ее состав утверждаются приказом Министерства.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22. Комиссия в течение семи рабочих дней со дня окончания срока приема конкурсных заявок проводит заседание, на котором: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1) осуществляет проверку представленных Организациями документов на предмет достоверности и соответствия требованиям, предусмотренным пунктами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14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15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16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настоящего Порядка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2) по результатам рассмотрения конкурсных заявок и прилагаемых к ним документов принимает решение о соответствии (несоответствии) Организации и документов требованиям настоящего Порядка;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3) в случае соответствия Организации и представленных ей документов требованиям настоящего Порядка принимает решение о допуске Организации к участию в отборе;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4) в случае несоответствия Организации и (или) представленных ею документов требованиям настоящего Порядка принимает решение об отклонении заявок и об отказе в участии в отборе;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определяет победителя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(победителей)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принимает решение об определении победителя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(победителей)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отбора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или его отсутствии (далее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 Основаниями для отклонения заявки участника отбора являются: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несоответствие участника отбора требованиям, установленным в пункте 25 настоящего Порядка;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 непредставление (представление не в полном объеме) документов, указанных в пункте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16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 несоответствие заявки условиям предоставления государственной поддержки, установленным пунктами 3, 5, 6, 8,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14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15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настоящего Порядка;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 представление недостоверных сведений, в том числе информации о месте нахождения и адресе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рганизации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 представление заявки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до опубликования объявления о проведении отбора, установленного пунктом 12 настоящего Порядка;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 представление заявки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до или после срока проведения отбора;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7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 отсутствие бюджетных ассигнований;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 отказ органа местного самоуправления от софинансирования мероприятий по капитальному ремонту.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 наличии оснований для отклонения конкурсной заявки Министерство в течение трех рабочих дней со дня проведения заседания Комиссии информирует Организацию об отклонении заявки с указанием причин отклонения по адресу, указанному в заявке.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24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Проверка соответствия заявки условиям предоставления государственной поддержки осуществляется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комиссией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основании представленных в составе заявки документов.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25.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Организаци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я,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представившая заявку, по состоянию на 1 число месяца,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предшествующего месяцу, в котором планируется проведение отбора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должна соответствовать следующим требованиям: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1) у Организации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Федерации;</w:t>
      </w:r>
      <w:r/>
    </w:p>
    <w:p>
      <w:pPr>
        <w:pStyle w:val="1033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2)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овокупности превышает 25 процентов (если иное не предусмотрено законодательством Российской Федерации).</w:t>
      </w:r>
      <w:r/>
    </w:p>
    <w:p>
      <w:pPr>
        <w:pStyle w:val="1033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1033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3) Организация не получает средства из областного бюджета на основании иных нормативных правовых актов Новосибирской области на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проведение капитального ремонта общего имущества в многоквартирных домах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;</w:t>
      </w:r>
      <w:r/>
    </w:p>
    <w:p>
      <w:pPr>
        <w:pStyle w:val="1033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1033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1033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6) участник отбора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</w:r>
      <w:r/>
    </w:p>
    <w:p>
      <w:pPr>
        <w:pStyle w:val="1033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26.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соответствия участников отбора требованиям, установленным пунктом 25 настоящего Порядка,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осуществляется министерством самостоятельно, в том числе на основании сведений, имеющихся в Министерстве, министерстве финансов и налоговой политики Новосибирской области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а также информации, размещенной на официальных сайтах Федеральной налоговой службы (www.nalog.ru), арбитражных судов (www.arbitr.ru), Министерства юстиции Российской Федерации (www.minjust.ru), Федеральной службы по финансовому мониторингу Российск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ой Федерации (www.fedsfm.ru), в течение 20 рабочих дней с даты окончания приема заявок участников отбора.</w:t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Участник отбора вправе самостоятельно представить в Министерство документы, подтверждающие соответствие требованиям, установленным пунктом 25 настоящего Порядка.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27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Распределение средств государственной поддержки осуществляется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омиссией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основании представленных заявок в соответствии с методикой расчета государственной поддержки на проведение капитального ремонта общего имущества в многоквартирных домах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утвержденной согласно приложению к настоящему Порядку.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28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 В случае если объем бюджетных ассигнований не позволяет предоставить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государственную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поддержку всем участникам отбора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ранжирование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осуществляется в даты регистраци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Министерством входящей заявки (н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ачиная 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даты публикации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объ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вления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проведении отбора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заканчивая датой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окончания приема заявок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Приоритет отдается заявкам, представленным в наиболее ранние сроки.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29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 Решение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оформляется в течение 5 рабочих дней со дня проведения заседания комиссии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представляется в Министерство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30. 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Министерство в течение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7 рабочих дней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 момента представления Решения Комиссии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осуществляет проверку представленных Организациями документов на предмет достоверности и соответствия требованиям, предусмотренным пунктами 14, 15, 16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25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принимает решение 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поддержки либо об отказе в ее предоставлении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Решение о предоставлении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поддержки оформляется приказом Министерства (далее – Приказ о предоставлении государственной поддержки).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Основаниями для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отказа в предоставлении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являются: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требованиям, установленным в пункте 25 настоящего Порядка;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2) непредставление (представление не в полном объеме) документов, указанных в пунктах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15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16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 Порядка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установление факта недостоверности представленной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Организацией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информации;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4)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отказ органа местного самоуправления от софинансирования мероприятий по капитальному ремонту</w:t>
      </w:r>
      <w:r/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32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 Министерство в течение 14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дней, следующих за днем определения победителя отбора, обеспечивает размещение информации о результатах рассмотрения заявок на сайте Министерства, включающей следующие сведения: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1) дата, время и место проведения рассмотрения заявок;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2) информация об участниках отбора, заявки которых были рассмотрены;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информация об участниках отбора, с которыми заключаются соглашения, и размер предоставляемой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государственной поддержки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5) наименование участника отбора, с которым заключается соглашение, и размер предоставляемой ему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государственной поддержки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33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течение 10 рабочих дней со дня оформления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Решения комиссии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Министерство направляет участникам отбора, которым отказано 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государственной поддержки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уведомление с указанием причин отказа.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34. Государственная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поддержкам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предоставляются на основании соглашения, заключаемого между Министерством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и победителем отбора в системе «Электронный бюджет»,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в соответствии с типовой формой, установленной министерством финансов и налоговой политики Новосибирской области (далее – Соглашение), в течение 15 рабочих дней со дня размещения на сайте Министерства информации о результатах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заявок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35. 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Обязательными условиями предоставления государственной поддержки Министерством, включаемыми в Соглашение и договоры (соглашения), заключенные в целях исполнения обязательств по данному Соглашению, являются:</w:t>
      </w:r>
      <w:r>
        <w:rPr>
          <w:rFonts w:ascii="Times New Roman" w:hAnsi="Times New Roman" w:cs="Times New Roman"/>
          <w:color w:val="000000"/>
          <w:spacing w:val="2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согласие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победителем 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Министерством и органом государственного финансово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контроля проверок соблюдения ими условий и порядка предоставления государственной поддержки, в том числе в части достижения результатов предоставления государственной поддержки, проверок в соответствии со статьями 268.1 и 269.2 Бюджетного кодекса Российс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ующих изделий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а также связанных с достижением результатов предоставления государственной поддержки иных операций, определенных настоящим Порядком;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 требование о расторжении Соглашения в случае уменьшения Министерству ранее доведенных лимитов бюджетных обязательств, приводящего к невозможности предоставления государственной поддержки в размере, определенном в соглашении, либо о внесении изменений в 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ействующее Соглашение в части снижения размера предоставления государственной поддержки пропорционально каждому победителю отбора, в пределах остатков неиспользованных лимитов бюджетных обязательств, по соглашению сторон;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1033"/>
        <w:ind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значения результатов предоставления государственной поддержки;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1033"/>
        <w:ind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меры ответственности за нарушение условий и порядка предоставления государственной поддержки;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1033"/>
        <w:ind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 порядок и условия его расторжения;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 требования к отчетности, подтверждающие результаты предоставления государственной поддержки.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реорганизации Организации, в форме слияния,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лица, являющегос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 правопреемником.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реорганизации Организации, в форме разделения, выделения, а также ликвидации Организации или прекращении деятельности Организаций, соглашение расторгается с формированием уведомления о расторжении соглашения в одностороннем поряд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ке и акта об исполнении обязательств по соглашению с отражением информации о неисполненных Организацией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обязательств, источником финансового обеспечения которых является субсидия, и возврате неиспользованного остатка субсидии в соответствующий бюдже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 бюджетной системы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36. Государственная поддержка перечисляется на лицевой счет Организации, открытый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Управлении Федерального казначейства по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течение 10 рабочих дней, с момента представления заявки на финансирование оформленной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произвольной форме с указанием адреса многоквартирного дома, в котором выполнены работы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 ремонту, замене, модернизации лифтов с истекшим назначенным сроком службы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с приложение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актов приемки услуг и (или) работ по капитальному ремонту многоквартирного дома, согласованных с органом местного самоуправления и подписанных лицами, которые уполномочены действовать от имени собственников помещений в многоквартирном доме;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уведомления от открытии лицевого счета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Управлении Федерального казначейства по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с указанием его реквизитов;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копии положительного заключения о проверке (экспертизе) сметной стоимости строительства объектов капитального ремонта;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копии акта ввода лифта в эксплуатацию.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копии договоров, заключенных с подрядными организациями, на выполнение работ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 ремонту, замене, модернизации лифтов с истекшим назначенным сроком службы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37. Результатом предоставления государственной поддержки Организации является: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замена лифта, с истекшим назначенным сроком службы не позднее 31 декабря года, в котором принято Решение о предоставление государственной поддержки в соответствии с пунктом 30 настоящего Порядка;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финансовое обеспечение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работ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замена лифта, с истекшим назначенным сроком службы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подтвержденное платежным документом на оплату средств государственной поддержки организации, привлекаемой для выполнения работ и (или) оказания услуг по капитальному ремонту, с которой получателем государственной поддержки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заключен договор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позднее одного месяца с момента перечисления средств государственной поддержки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счет, открытый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Управлении Федерального казначейства по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получателя.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38. Основаниями для отказа в перечислении государственной поддержки на лицевой счет Организации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непредставление (представление не в полном объеме) документов, указанных в пункте 36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настоящего Порядка;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2)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недостоверность представленной Организацией информации;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3)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несоответствие Организации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 требованиям, установленным пунктом 25 настоящего Порядка.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39. 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В течение одного месяца с момента перечисления государственной поддержки на отдельный банковской счет, указанный в подпункте 36 настоящего Порядка, Организация представляет в Министерство копии платежных документов, подтверждающи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х финансовое обеспечение затрат выполненных работ и (или) оказанных услуг по капитальному ремонту общего имущества в многоквартирном доме.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Порядок и сроки проверки и принятия отчетности, представленной получателем субсидии, определяется Соглашением.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40. 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Министерством и органами государственного финансового контроля осуществляется обязательная проверка соблюдения Организации порядка и условий предоставления государственной поддержки, в том числе в части достижения результатов предоста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вления государственной поддержки, также органами государственного финансового контроля осуществляется проверка в соответствии со статьями 268.1 и 269.2 Бюджетного кодекса Российской Федерации.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41. 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Мониторинг достижения результатов предоставления государственной поддержки проводится Министерством исходя из достижения значения показателей результатов предоставления государственной поддержки, определенных Соглашением, и событий, отражающих факт завершения соответствующего мероприятия по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42. 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В случае нарушения Организацией условий, установленных при предоставлении государственной поддержки,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значения результа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та предоставления государственной поддержки, установленного в соглашении, Министерство в течение 15 рабочих дней со дня подписания документа, подтверждающего выявление факта данного нарушения, направляет Организации требование о возврате полученной государственной поддержки (части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государственной поддержки</w:t>
      </w:r>
      <w:r/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). Государственная поддержка (часть государственной поддержки) подлежат возврату в областной бюджет в течение 10 рабочих дней со дня направления Министерством указанного требования.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43. 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Требования Министерства о возврате субсидий при обнаружении обстоятельств, предусмотренных пунктом 35 настоящих Правил, направляются заказными письмами через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 федеральный орган почтовой связи, иную организацию, осуществляющую отправку корреспонденции в течение 5 рабочих дней со дня обнаружения указанных обстоятельств с уведомлением о вручении Организации.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44. 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  <w:t xml:space="preserve">В случае отказа от добровольного возврата государственной поддержки взыскание денежных средств осуществляется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10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3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ind w:left="5811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33"/>
        <w:ind w:left="5811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Порядку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определения объема и условия предоставления субсидии из областного бюджета Новосибирской области на проведение капитального ремонта общего имущества в многоквартирных домах, расположенных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1033"/>
        <w:ind w:left="5811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3"/>
        <w:ind w:left="5811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3"/>
        <w:ind w:left="5811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3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Методика 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расчета государственной поддержки на проведение капитального ремонта общего имущества в многоквартирных домах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1033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Объем государственной поддержки на проведение работ по ремонту или замене лифтового оборудования, признанного непригодным для эксплуатации, ремонту лифтовых шахт рассчитывается по формуле:</w:t>
      </w:r>
      <w:r/>
      <w:r>
        <w:rPr>
          <w:rFonts w:ascii="Times New Roman" w:hAnsi="Times New Roman" w:cs="Times New Roman"/>
          <w:sz w:val="28"/>
        </w:rPr>
      </w:r>
    </w:p>
    <w:p>
      <w:pPr>
        <w:pStyle w:val="1033"/>
        <w:ind w:firstLine="709"/>
        <w:jc w:val="center"/>
        <w:rPr>
          <w:rFonts w:ascii="Times New Roman" w:hAnsi="Times New Roman" w:cs="Times New Roman"/>
          <w:color w:val="ff0000"/>
          <w:sz w:val="28"/>
        </w:rPr>
      </w:pPr>
      <w:r/>
      <w:r>
        <w:rPr>
          <w:rFonts w:ascii="Times New Roman" w:hAnsi="Times New Roman" w:cs="Times New Roman"/>
          <w:sz w:val="36"/>
          <w:szCs w:val="24"/>
          <w:lang w:val="en-US"/>
        </w:rPr>
        <w:t xml:space="preserve">S</w:t>
      </w:r>
      <w:r/>
      <m:oMath>
        <m:r>
          <w:rPr>
            <w:rFonts w:ascii="Cambria Math" w:hAnsi="Cambria Math" w:cs="Times New Roman"/>
            <w:sz w:val="28"/>
          </w:rPr>
          <m:rPr>
            <m:sty m:val="p"/>
          </m:rPr>
          <m:t>=</m:t>
        </m:r>
        <m:nary>
          <m:naryPr>
            <m:chr m:val="∑"/>
            <m:grow m:val="off"/>
            <m:limLoc m:val="subSup"/>
            <m:supHide m:val="on"/>
            <m:ctrlPr>
              <w:rPr>
                <w:rFonts w:ascii="Cambria Math" w:hAnsi="Cambria Math" w:cs="Times New Roman"/>
                <w:sz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</w:rPr>
              <m:rPr>
                <m:sty m:val="p"/>
              </m:rPr>
              <m:t>i=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rPr>
                    <m:sty m:val="p"/>
                  </m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rPr>
                    <m:sty m:val="p"/>
                  </m:rPr>
                  <m:t>n</m:t>
                </m:r>
              </m:sup>
            </m:sSup>
          </m:sub>
          <m:sup/>
          <m:e>
            <m:f>
              <m:fPr>
                <m:ctrlPr>
                  <w:rPr>
                    <w:rFonts w:ascii="Cambria Math" w:hAnsi="Cambria Math" w:cs="Times New Roman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rPr>
                        <m:sty m:val="p"/>
                      </m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rPr>
                        <m:sty m:val="p"/>
                      </m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rPr>
                    <m:sty m:val="p"/>
                  </m:rPr>
                  <m:t>×B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rPr>
                    <m:sty m:val="p"/>
                  </m:rPr>
                  <m:t>100%</m:t>
                </m:r>
              </m:den>
            </m:f>
          </m:e>
        </m:nary>
      </m:oMath>
      <w:r>
        <w:rPr>
          <w:rFonts w:ascii="Times New Roman" w:hAnsi="Times New Roman" w:cs="Times New Roman"/>
          <w:sz w:val="32"/>
        </w:rPr>
        <w:t xml:space="preserve">,</w:t>
      </w:r>
      <w:r>
        <w:rPr>
          <w:rFonts w:ascii="Times New Roman" w:hAnsi="Times New Roman" w:cs="Times New Roman"/>
          <w:color w:val="ff0000"/>
          <w:sz w:val="28"/>
        </w:rPr>
        <w:fldChar w:fldCharType="begin"/>
      </w:r>
      <w:r>
        <w:rPr>
          <w:rFonts w:ascii="Times New Roman" w:hAnsi="Times New Roman" w:cs="Times New Roman"/>
          <w:color w:val="ff0000"/>
          <w:sz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color w:val="ff0000"/>
                <w:sz w:val="32"/>
              </w:rPr>
            </m:ctrlPr>
          </m:sSubPr>
          <m:e>
            <m:r>
              <w:rPr>
                <w:rFonts w:ascii="Cambria Math" w:hAnsi="Cambria Math"/>
                <w:color w:val="ff0000"/>
                <w:sz w:val="32"/>
              </w:rPr>
              <m:rPr>
                <m:sty m:val="p"/>
              </m:rPr>
              <m:t>S</m:t>
            </m:r>
          </m:e>
          <m:sub>
            <m:r>
              <w:rPr>
                <w:rFonts w:ascii="Cambria Math" w:hAnsi="Cambria Math"/>
                <w:color w:val="ff0000"/>
                <w:sz w:val="32"/>
              </w:rPr>
              <m:rPr>
                <m:sty m:val="p"/>
              </m:rPr>
              <m:t>1</m:t>
            </m:r>
          </m:sub>
        </m:sSub>
        <m:r>
          <w:rPr>
            <w:rFonts w:ascii="Cambria Math" w:hAnsi="Cambria Math"/>
            <w:color w:val="ff0000"/>
            <w:sz w:val="32"/>
          </w:rPr>
          <m:rPr>
            <m:sty m:val="p"/>
          </m:rPr>
          <m:t>=</m:t>
        </m:r>
        <m:f>
          <m:fPr>
            <m:ctrlPr>
              <w:rPr>
                <w:rFonts w:ascii="Cambria Math" w:hAnsi="Cambria Math"/>
                <w:color w:val="ff0000"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</w:rPr>
                  <m:rPr>
                    <m:sty m:val="p"/>
                  </m:rPr>
                  <m:t>A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</w:rPr>
                  <m:rPr>
                    <m:sty m:val="p"/>
                  </m:rPr>
                  <m:t>i</m:t>
                </m:r>
              </m:sub>
            </m:sSub>
            <m:r>
              <w:rPr>
                <w:rFonts w:ascii="Cambria Math" w:hAnsi="Cambria Math"/>
                <w:color w:val="ff0000"/>
                <w:sz w:val="32"/>
              </w:rPr>
              <m:rPr>
                <m:sty m:val="p"/>
              </m:rPr>
              <m:t>×B</m:t>
            </m:r>
          </m:num>
          <m:den>
            <m:r>
              <w:rPr>
                <w:rFonts w:ascii="Cambria Math" w:hAnsi="Cambria Math"/>
                <w:color w:val="ff0000"/>
                <w:sz w:val="32"/>
              </w:rPr>
              <m:rPr>
                <m:sty m:val="p"/>
              </m:rPr>
              <m:t>100%</m:t>
            </m:r>
          </m:den>
        </m:f>
      </m:oMath>
      <w:r>
        <w:rPr>
          <w:rFonts w:ascii="Times New Roman" w:hAnsi="Times New Roman" w:cs="Times New Roman"/>
          <w:color w:val="ff0000"/>
          <w:sz w:val="28"/>
        </w:rPr>
        <w:instrText xml:space="preserve"> </w:instrText>
      </w:r>
      <w:r>
        <w:rPr>
          <w:rFonts w:ascii="Times New Roman" w:hAnsi="Times New Roman" w:cs="Times New Roman"/>
          <w:color w:val="ff0000"/>
          <w:sz w:val="28"/>
        </w:rPr>
        <w:fldChar w:fldCharType="end"/>
      </w:r>
      <w:r>
        <w:rPr>
          <w:rFonts w:ascii="Times New Roman" w:hAnsi="Times New Roman" w:cs="Times New Roman"/>
          <w:color w:val="ff0000"/>
          <w:sz w:val="28"/>
        </w:rPr>
      </w:r>
      <w:r>
        <w:rPr>
          <w:rFonts w:ascii="Times New Roman" w:hAnsi="Times New Roman" w:cs="Times New Roman"/>
          <w:color w:val="ff0000"/>
          <w:sz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</w:rPr>
        <w:t xml:space="preserve">где:</w:t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</w:r>
      <w:r>
        <w:rPr>
          <w:rFonts w:ascii="Times New Roman" w:hAnsi="Times New Roman" w:cs="Times New Roman"/>
          <w:sz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</w:rPr>
        <w:t xml:space="preserve"> – объем государственной поддержки на проведение работ по ремонту или замене лифтового оборудования, признанного непригодным для эксплуатации, ремонту лифтовых шахт;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количество многоквартирных домов, в которых планируется проведение работ </w:t>
      </w:r>
      <w:r>
        <w:rPr>
          <w:rFonts w:ascii="Times New Roman" w:hAnsi="Times New Roman" w:cs="Times New Roman"/>
          <w:sz w:val="28"/>
        </w:rPr>
        <w:t xml:space="preserve">по ремонту или замене лифтового оборудования, признанного непригодным </w:t>
      </w:r>
      <w:r>
        <w:rPr>
          <w:rFonts w:ascii="Times New Roman" w:hAnsi="Times New Roman" w:cs="Times New Roman"/>
          <w:sz w:val="28"/>
        </w:rPr>
        <w:t xml:space="preserve">для эксплуатации, ремонту лифтовых шахт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стоимость </w:t>
      </w:r>
      <w:r>
        <w:rPr>
          <w:rFonts w:ascii="Times New Roman" w:hAnsi="Times New Roman" w:cs="Times New Roman"/>
          <w:sz w:val="28"/>
        </w:rPr>
        <w:t xml:space="preserve">л</w:t>
      </w:r>
      <w:r>
        <w:rPr>
          <w:rFonts w:ascii="Times New Roman" w:hAnsi="Times New Roman" w:cs="Times New Roman"/>
          <w:sz w:val="28"/>
        </w:rPr>
        <w:t xml:space="preserve">ифтового оборудования, признанного непригодным для эксплуатации i-го многоквартирного дома, руб.;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 </w:t>
      </w:r>
      <w:r>
        <w:rPr>
          <w:rFonts w:ascii="Times New Roman" w:hAnsi="Times New Roman" w:cs="Times New Roman"/>
          <w:sz w:val="28"/>
          <w:szCs w:val="22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доля государственной поддержки на ремонт или замену лифтового оборудования, признанного непригодным для эксплуатации, ремонт лифтовых шахт</w:t>
      </w:r>
      <w:r>
        <w:rPr>
          <w:rFonts w:ascii="Times New Roman" w:hAnsi="Times New Roman" w:cs="Times New Roman"/>
          <w:sz w:val="28"/>
        </w:rPr>
        <w:t xml:space="preserve">, которая</w:t>
      </w:r>
      <w:r>
        <w:rPr>
          <w:rFonts w:ascii="Times New Roman" w:hAnsi="Times New Roman" w:cs="Times New Roman"/>
          <w:sz w:val="28"/>
        </w:rPr>
        <w:t xml:space="preserve"> составляет 25%.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33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onsolas">
    <w:panose1 w:val="020B0606020202030204"/>
  </w:font>
  <w:font w:name="Cambria Math">
    <w:panose1 w:val="02000603000000000000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ru-RU"/>
      </w:rPr>
      <w:t xml:space="preserve"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10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85" w:hanging="360"/>
      </w:pPr>
      <w:rPr>
        <w:rFonts w:ascii="Times New Roman" w:hAnsi="Times New Roman" w:eastAsia="Times New Roman" w:cs="Times New Roman"/>
        <w:i/>
      </w:rPr>
    </w:lvl>
    <w:lvl w:ilvl="1">
      <w:start w:val="1"/>
      <w:numFmt w:val="bullet"/>
      <w:isLgl w:val="false"/>
      <w:suff w:val="tab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24"/>
  </w:num>
  <w:num w:numId="2">
    <w:abstractNumId w:val="0"/>
  </w:num>
  <w:num w:numId="3">
    <w:abstractNumId w:val="8"/>
  </w:num>
  <w:num w:numId="4">
    <w:abstractNumId w:val="23"/>
  </w:num>
  <w:num w:numId="5">
    <w:abstractNumId w:val="10"/>
  </w:num>
  <w:num w:numId="6">
    <w:abstractNumId w:val="20"/>
  </w:num>
  <w:num w:numId="7">
    <w:abstractNumId w:val="32"/>
  </w:num>
  <w:num w:numId="8">
    <w:abstractNumId w:val="13"/>
  </w:num>
  <w:num w:numId="9">
    <w:abstractNumId w:val="2"/>
  </w:num>
  <w:num w:numId="10">
    <w:abstractNumId w:val="4"/>
  </w:num>
  <w:num w:numId="11">
    <w:abstractNumId w:val="27"/>
  </w:num>
  <w:num w:numId="12">
    <w:abstractNumId w:val="28"/>
  </w:num>
  <w:num w:numId="13">
    <w:abstractNumId w:val="25"/>
  </w:num>
  <w:num w:numId="14">
    <w:abstractNumId w:val="22"/>
  </w:num>
  <w:num w:numId="15">
    <w:abstractNumId w:val="33"/>
  </w:num>
  <w:num w:numId="16">
    <w:abstractNumId w:val="16"/>
  </w:num>
  <w:num w:numId="17">
    <w:abstractNumId w:val="26"/>
  </w:num>
  <w:num w:numId="18">
    <w:abstractNumId w:val="11"/>
  </w:num>
  <w:num w:numId="19">
    <w:abstractNumId w:val="30"/>
  </w:num>
  <w:num w:numId="20">
    <w:abstractNumId w:val="15"/>
  </w:num>
  <w:num w:numId="21">
    <w:abstractNumId w:val="12"/>
  </w:num>
  <w:num w:numId="22">
    <w:abstractNumId w:val="17"/>
  </w:num>
  <w:num w:numId="23">
    <w:abstractNumId w:val="9"/>
  </w:num>
  <w:num w:numId="24">
    <w:abstractNumId w:val="6"/>
  </w:num>
  <w:num w:numId="25">
    <w:abstractNumId w:val="1"/>
  </w:num>
  <w:num w:numId="26">
    <w:abstractNumId w:val="3"/>
  </w:num>
  <w:num w:numId="27">
    <w:abstractNumId w:val="5"/>
  </w:num>
  <w:num w:numId="28">
    <w:abstractNumId w:val="29"/>
  </w:num>
  <w:num w:numId="29">
    <w:abstractNumId w:val="7"/>
  </w:num>
  <w:num w:numId="30">
    <w:abstractNumId w:val="21"/>
  </w:num>
  <w:num w:numId="31">
    <w:abstractNumId w:val="34"/>
  </w:num>
  <w:num w:numId="32">
    <w:abstractNumId w:val="5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33">
    <w:abstractNumId w:val="29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34">
    <w:abstractNumId w:val="7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35">
    <w:abstractNumId w:val="21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36">
    <w:abstractNumId w:val="34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37">
    <w:abstractNumId w:val="14"/>
  </w:num>
  <w:num w:numId="38">
    <w:abstractNumId w:val="18"/>
  </w:num>
  <w:num w:numId="39">
    <w:abstractNumId w:val="1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>
    <w:name w:val="Heading 1"/>
    <w:basedOn w:val="927"/>
    <w:next w:val="927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0">
    <w:name w:val="Heading 1 Char"/>
    <w:link w:val="749"/>
    <w:uiPriority w:val="9"/>
    <w:rPr>
      <w:rFonts w:ascii="Arial" w:hAnsi="Arial" w:eastAsia="Arial" w:cs="Arial"/>
      <w:sz w:val="40"/>
      <w:szCs w:val="40"/>
    </w:rPr>
  </w:style>
  <w:style w:type="paragraph" w:styleId="751">
    <w:name w:val="Heading 2"/>
    <w:basedOn w:val="927"/>
    <w:next w:val="927"/>
    <w:link w:val="7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2">
    <w:name w:val="Heading 2 Char"/>
    <w:link w:val="751"/>
    <w:uiPriority w:val="9"/>
    <w:rPr>
      <w:rFonts w:ascii="Arial" w:hAnsi="Arial" w:eastAsia="Arial" w:cs="Arial"/>
      <w:sz w:val="34"/>
    </w:rPr>
  </w:style>
  <w:style w:type="paragraph" w:styleId="753">
    <w:name w:val="Heading 3"/>
    <w:basedOn w:val="927"/>
    <w:next w:val="927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4">
    <w:name w:val="Heading 3 Char"/>
    <w:link w:val="753"/>
    <w:uiPriority w:val="9"/>
    <w:rPr>
      <w:rFonts w:ascii="Arial" w:hAnsi="Arial" w:eastAsia="Arial" w:cs="Arial"/>
      <w:sz w:val="30"/>
      <w:szCs w:val="30"/>
    </w:rPr>
  </w:style>
  <w:style w:type="paragraph" w:styleId="755">
    <w:name w:val="Heading 4"/>
    <w:basedOn w:val="927"/>
    <w:next w:val="927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>
    <w:name w:val="Heading 4 Char"/>
    <w:link w:val="755"/>
    <w:uiPriority w:val="9"/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927"/>
    <w:next w:val="927"/>
    <w:link w:val="7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>
    <w:name w:val="Heading 5 Char"/>
    <w:link w:val="757"/>
    <w:uiPriority w:val="9"/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927"/>
    <w:next w:val="927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0">
    <w:name w:val="Heading 6 Char"/>
    <w:link w:val="759"/>
    <w:uiPriority w:val="9"/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927"/>
    <w:next w:val="927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>
    <w:name w:val="Heading 7 Char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927"/>
    <w:next w:val="927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4">
    <w:name w:val="Heading 8 Char"/>
    <w:link w:val="763"/>
    <w:uiPriority w:val="9"/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927"/>
    <w:next w:val="927"/>
    <w:link w:val="7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>
    <w:name w:val="Heading 9 Char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927"/>
    <w:uiPriority w:val="34"/>
    <w:qFormat/>
    <w:pPr>
      <w:contextualSpacing/>
      <w:ind w:left="720"/>
    </w:pPr>
  </w:style>
  <w:style w:type="paragraph" w:styleId="768">
    <w:name w:val="No Spacing"/>
    <w:uiPriority w:val="1"/>
    <w:qFormat/>
    <w:pPr>
      <w:spacing w:before="0" w:after="0" w:line="240" w:lineRule="auto"/>
    </w:pPr>
  </w:style>
  <w:style w:type="paragraph" w:styleId="769">
    <w:name w:val="Title"/>
    <w:basedOn w:val="927"/>
    <w:next w:val="927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>
    <w:name w:val="Title Char"/>
    <w:link w:val="769"/>
    <w:uiPriority w:val="10"/>
    <w:rPr>
      <w:sz w:val="48"/>
      <w:szCs w:val="48"/>
    </w:rPr>
  </w:style>
  <w:style w:type="paragraph" w:styleId="771">
    <w:name w:val="Subtitle"/>
    <w:basedOn w:val="927"/>
    <w:next w:val="927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>
    <w:name w:val="Subtitle Char"/>
    <w:link w:val="771"/>
    <w:uiPriority w:val="11"/>
    <w:rPr>
      <w:sz w:val="24"/>
      <w:szCs w:val="24"/>
    </w:rPr>
  </w:style>
  <w:style w:type="paragraph" w:styleId="773">
    <w:name w:val="Quote"/>
    <w:basedOn w:val="927"/>
    <w:next w:val="927"/>
    <w:link w:val="774"/>
    <w:uiPriority w:val="29"/>
    <w:qFormat/>
    <w:pPr>
      <w:ind w:left="720" w:right="720"/>
    </w:pPr>
    <w:rPr>
      <w:i/>
    </w:rPr>
  </w:style>
  <w:style w:type="character" w:styleId="774">
    <w:name w:val="Quote Char"/>
    <w:link w:val="773"/>
    <w:uiPriority w:val="29"/>
    <w:rPr>
      <w:i/>
    </w:rPr>
  </w:style>
  <w:style w:type="paragraph" w:styleId="775">
    <w:name w:val="Intense Quote"/>
    <w:basedOn w:val="927"/>
    <w:next w:val="927"/>
    <w:link w:val="7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>
    <w:name w:val="Intense Quote Char"/>
    <w:link w:val="775"/>
    <w:uiPriority w:val="30"/>
    <w:rPr>
      <w:i/>
    </w:rPr>
  </w:style>
  <w:style w:type="paragraph" w:styleId="777">
    <w:name w:val="Header"/>
    <w:basedOn w:val="927"/>
    <w:link w:val="7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8">
    <w:name w:val="Header Char"/>
    <w:link w:val="777"/>
    <w:uiPriority w:val="99"/>
  </w:style>
  <w:style w:type="paragraph" w:styleId="779">
    <w:name w:val="Footer"/>
    <w:basedOn w:val="927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>
    <w:name w:val="Footer Char"/>
    <w:link w:val="779"/>
    <w:uiPriority w:val="99"/>
  </w:style>
  <w:style w:type="paragraph" w:styleId="781">
    <w:name w:val="Caption"/>
    <w:basedOn w:val="927"/>
    <w:next w:val="9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>
    <w:name w:val="Caption Char"/>
    <w:basedOn w:val="781"/>
    <w:link w:val="779"/>
    <w:uiPriority w:val="99"/>
  </w:style>
  <w:style w:type="table" w:styleId="78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9">
    <w:name w:val="Hyperlink"/>
    <w:uiPriority w:val="99"/>
    <w:unhideWhenUsed/>
    <w:rPr>
      <w:color w:val="0000ff" w:themeColor="hyperlink"/>
      <w:u w:val="single"/>
    </w:rPr>
  </w:style>
  <w:style w:type="paragraph" w:styleId="910">
    <w:name w:val="footnote text"/>
    <w:basedOn w:val="927"/>
    <w:link w:val="911"/>
    <w:uiPriority w:val="99"/>
    <w:semiHidden/>
    <w:unhideWhenUsed/>
    <w:pPr>
      <w:spacing w:after="40" w:line="240" w:lineRule="auto"/>
    </w:pPr>
    <w:rPr>
      <w:sz w:val="18"/>
    </w:rPr>
  </w:style>
  <w:style w:type="character" w:styleId="911">
    <w:name w:val="Footnote Text Char"/>
    <w:link w:val="910"/>
    <w:uiPriority w:val="99"/>
    <w:rPr>
      <w:sz w:val="18"/>
    </w:rPr>
  </w:style>
  <w:style w:type="character" w:styleId="912">
    <w:name w:val="footnote reference"/>
    <w:uiPriority w:val="99"/>
    <w:unhideWhenUsed/>
    <w:rPr>
      <w:vertAlign w:val="superscript"/>
    </w:rPr>
  </w:style>
  <w:style w:type="paragraph" w:styleId="913">
    <w:name w:val="endnote text"/>
    <w:basedOn w:val="927"/>
    <w:link w:val="914"/>
    <w:uiPriority w:val="99"/>
    <w:semiHidden/>
    <w:unhideWhenUsed/>
    <w:pPr>
      <w:spacing w:after="0" w:line="240" w:lineRule="auto"/>
    </w:pPr>
    <w:rPr>
      <w:sz w:val="20"/>
    </w:rPr>
  </w:style>
  <w:style w:type="character" w:styleId="914">
    <w:name w:val="Endnote Text Char"/>
    <w:link w:val="913"/>
    <w:uiPriority w:val="99"/>
    <w:rPr>
      <w:sz w:val="20"/>
    </w:rPr>
  </w:style>
  <w:style w:type="character" w:styleId="915">
    <w:name w:val="endnote reference"/>
    <w:uiPriority w:val="99"/>
    <w:semiHidden/>
    <w:unhideWhenUsed/>
    <w:rPr>
      <w:vertAlign w:val="superscript"/>
    </w:rPr>
  </w:style>
  <w:style w:type="paragraph" w:styleId="916">
    <w:name w:val="toc 1"/>
    <w:basedOn w:val="927"/>
    <w:next w:val="927"/>
    <w:uiPriority w:val="39"/>
    <w:unhideWhenUsed/>
    <w:pPr>
      <w:ind w:left="0" w:right="0" w:firstLine="0"/>
      <w:spacing w:after="57"/>
    </w:pPr>
  </w:style>
  <w:style w:type="paragraph" w:styleId="917">
    <w:name w:val="toc 2"/>
    <w:basedOn w:val="927"/>
    <w:next w:val="927"/>
    <w:uiPriority w:val="39"/>
    <w:unhideWhenUsed/>
    <w:pPr>
      <w:ind w:left="283" w:right="0" w:firstLine="0"/>
      <w:spacing w:after="57"/>
    </w:pPr>
  </w:style>
  <w:style w:type="paragraph" w:styleId="918">
    <w:name w:val="toc 3"/>
    <w:basedOn w:val="927"/>
    <w:next w:val="927"/>
    <w:uiPriority w:val="39"/>
    <w:unhideWhenUsed/>
    <w:pPr>
      <w:ind w:left="567" w:right="0" w:firstLine="0"/>
      <w:spacing w:after="57"/>
    </w:pPr>
  </w:style>
  <w:style w:type="paragraph" w:styleId="919">
    <w:name w:val="toc 4"/>
    <w:basedOn w:val="927"/>
    <w:next w:val="927"/>
    <w:uiPriority w:val="39"/>
    <w:unhideWhenUsed/>
    <w:pPr>
      <w:ind w:left="850" w:right="0" w:firstLine="0"/>
      <w:spacing w:after="57"/>
    </w:pPr>
  </w:style>
  <w:style w:type="paragraph" w:styleId="920">
    <w:name w:val="toc 5"/>
    <w:basedOn w:val="927"/>
    <w:next w:val="927"/>
    <w:uiPriority w:val="39"/>
    <w:unhideWhenUsed/>
    <w:pPr>
      <w:ind w:left="1134" w:right="0" w:firstLine="0"/>
      <w:spacing w:after="57"/>
    </w:pPr>
  </w:style>
  <w:style w:type="paragraph" w:styleId="921">
    <w:name w:val="toc 6"/>
    <w:basedOn w:val="927"/>
    <w:next w:val="927"/>
    <w:uiPriority w:val="39"/>
    <w:unhideWhenUsed/>
    <w:pPr>
      <w:ind w:left="1417" w:right="0" w:firstLine="0"/>
      <w:spacing w:after="57"/>
    </w:pPr>
  </w:style>
  <w:style w:type="paragraph" w:styleId="922">
    <w:name w:val="toc 7"/>
    <w:basedOn w:val="927"/>
    <w:next w:val="927"/>
    <w:uiPriority w:val="39"/>
    <w:unhideWhenUsed/>
    <w:pPr>
      <w:ind w:left="1701" w:right="0" w:firstLine="0"/>
      <w:spacing w:after="57"/>
    </w:pPr>
  </w:style>
  <w:style w:type="paragraph" w:styleId="923">
    <w:name w:val="toc 8"/>
    <w:basedOn w:val="927"/>
    <w:next w:val="927"/>
    <w:uiPriority w:val="39"/>
    <w:unhideWhenUsed/>
    <w:pPr>
      <w:ind w:left="1984" w:right="0" w:firstLine="0"/>
      <w:spacing w:after="57"/>
    </w:pPr>
  </w:style>
  <w:style w:type="paragraph" w:styleId="924">
    <w:name w:val="toc 9"/>
    <w:basedOn w:val="927"/>
    <w:next w:val="927"/>
    <w:uiPriority w:val="39"/>
    <w:unhideWhenUsed/>
    <w:pPr>
      <w:ind w:left="2268" w:right="0" w:firstLine="0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927"/>
    <w:next w:val="927"/>
    <w:uiPriority w:val="99"/>
    <w:unhideWhenUsed/>
    <w:pPr>
      <w:spacing w:after="0" w:afterAutospacing="0"/>
    </w:pPr>
  </w:style>
  <w:style w:type="paragraph" w:styleId="927" w:default="1">
    <w:name w:val="Normal"/>
    <w:next w:val="927"/>
    <w:link w:val="927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928">
    <w:name w:val="Заголовок 1"/>
    <w:basedOn w:val="927"/>
    <w:next w:val="927"/>
    <w:link w:val="1032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29">
    <w:name w:val="Заголовок 3"/>
    <w:basedOn w:val="927"/>
    <w:next w:val="927"/>
    <w:link w:val="1023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character" w:styleId="930">
    <w:name w:val="Основной шрифт абзаца"/>
    <w:next w:val="930"/>
    <w:link w:val="927"/>
    <w:uiPriority w:val="1"/>
    <w:unhideWhenUsed/>
  </w:style>
  <w:style w:type="table" w:styleId="931">
    <w:name w:val="Обычная таблица"/>
    <w:next w:val="931"/>
    <w:link w:val="927"/>
    <w:uiPriority w:val="99"/>
    <w:semiHidden/>
    <w:unhideWhenUsed/>
    <w:qFormat/>
    <w:tblPr/>
  </w:style>
  <w:style w:type="numbering" w:styleId="932">
    <w:name w:val="Нет списка"/>
    <w:next w:val="932"/>
    <w:link w:val="927"/>
    <w:uiPriority w:val="99"/>
    <w:semiHidden/>
    <w:unhideWhenUsed/>
  </w:style>
  <w:style w:type="paragraph" w:styleId="933">
    <w:name w:val="Default"/>
    <w:next w:val="933"/>
    <w:link w:val="927"/>
    <w:pPr>
      <w:widowControl w:val="off"/>
    </w:pPr>
    <w:rPr>
      <w:rFonts w:ascii="Times New Roman" w:hAnsi="Times New Roman"/>
      <w:color w:val="000000"/>
      <w:sz w:val="24"/>
      <w:szCs w:val="24"/>
      <w:lang w:val="ru-RU" w:eastAsia="ru-RU" w:bidi="ar-SA"/>
    </w:rPr>
  </w:style>
  <w:style w:type="paragraph" w:styleId="934">
    <w:name w:val="CM67"/>
    <w:basedOn w:val="933"/>
    <w:next w:val="933"/>
    <w:link w:val="927"/>
    <w:uiPriority w:val="99"/>
    <w:pPr>
      <w:spacing w:after="135"/>
    </w:pPr>
    <w:rPr>
      <w:color w:val="000000"/>
    </w:rPr>
  </w:style>
  <w:style w:type="paragraph" w:styleId="935">
    <w:name w:val="CM66"/>
    <w:basedOn w:val="933"/>
    <w:next w:val="933"/>
    <w:link w:val="927"/>
    <w:pPr>
      <w:spacing w:after="240"/>
    </w:pPr>
    <w:rPr>
      <w:color w:val="000000"/>
    </w:rPr>
  </w:style>
  <w:style w:type="paragraph" w:styleId="936">
    <w:name w:val="CM1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37">
    <w:name w:val="CM2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38">
    <w:name w:val="CM4"/>
    <w:basedOn w:val="933"/>
    <w:next w:val="933"/>
    <w:link w:val="927"/>
    <w:uiPriority w:val="99"/>
    <w:rPr>
      <w:color w:val="000000"/>
    </w:rPr>
  </w:style>
  <w:style w:type="paragraph" w:styleId="939">
    <w:name w:val="CM6"/>
    <w:basedOn w:val="933"/>
    <w:next w:val="933"/>
    <w:link w:val="927"/>
    <w:uiPriority w:val="99"/>
    <w:rPr>
      <w:color w:val="000000"/>
    </w:rPr>
  </w:style>
  <w:style w:type="paragraph" w:styleId="940">
    <w:name w:val="CM7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41">
    <w:name w:val="CM9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42">
    <w:name w:val="CM11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43">
    <w:name w:val="CM12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44">
    <w:name w:val="CM13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45">
    <w:name w:val="CM14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46">
    <w:name w:val="CM15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47">
    <w:name w:val="CM16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48">
    <w:name w:val="CM17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49">
    <w:name w:val="CM18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50">
    <w:name w:val="CM19"/>
    <w:basedOn w:val="933"/>
    <w:next w:val="933"/>
    <w:link w:val="927"/>
    <w:pPr>
      <w:spacing w:line="240" w:lineRule="atLeast"/>
    </w:pPr>
    <w:rPr>
      <w:color w:val="000000"/>
    </w:rPr>
  </w:style>
  <w:style w:type="paragraph" w:styleId="951">
    <w:name w:val="CM20"/>
    <w:basedOn w:val="933"/>
    <w:next w:val="933"/>
    <w:link w:val="927"/>
    <w:pPr>
      <w:spacing w:line="240" w:lineRule="atLeast"/>
    </w:pPr>
    <w:rPr>
      <w:color w:val="000000"/>
    </w:rPr>
  </w:style>
  <w:style w:type="paragraph" w:styleId="952">
    <w:name w:val="CM22"/>
    <w:basedOn w:val="933"/>
    <w:next w:val="933"/>
    <w:link w:val="927"/>
    <w:pPr>
      <w:spacing w:line="240" w:lineRule="atLeast"/>
    </w:pPr>
    <w:rPr>
      <w:color w:val="000000"/>
    </w:rPr>
  </w:style>
  <w:style w:type="paragraph" w:styleId="953">
    <w:name w:val="CM21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54">
    <w:name w:val="CM23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55">
    <w:name w:val="CM24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56">
    <w:name w:val="CM25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57">
    <w:name w:val="CM26"/>
    <w:basedOn w:val="933"/>
    <w:next w:val="933"/>
    <w:link w:val="927"/>
    <w:pPr>
      <w:spacing w:line="240" w:lineRule="atLeast"/>
    </w:pPr>
    <w:rPr>
      <w:color w:val="000000"/>
    </w:rPr>
  </w:style>
  <w:style w:type="paragraph" w:styleId="958">
    <w:name w:val="CM27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59">
    <w:name w:val="CM28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60">
    <w:name w:val="CM29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61">
    <w:name w:val="CM30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62">
    <w:name w:val="CM68"/>
    <w:basedOn w:val="933"/>
    <w:next w:val="933"/>
    <w:link w:val="927"/>
    <w:uiPriority w:val="99"/>
    <w:pPr>
      <w:spacing w:after="405"/>
    </w:pPr>
    <w:rPr>
      <w:color w:val="000000"/>
    </w:rPr>
  </w:style>
  <w:style w:type="paragraph" w:styleId="963">
    <w:name w:val="CM69"/>
    <w:basedOn w:val="933"/>
    <w:next w:val="933"/>
    <w:link w:val="927"/>
    <w:uiPriority w:val="99"/>
    <w:pPr>
      <w:spacing w:after="180"/>
    </w:pPr>
    <w:rPr>
      <w:color w:val="000000"/>
    </w:rPr>
  </w:style>
  <w:style w:type="paragraph" w:styleId="964">
    <w:name w:val="CM70"/>
    <w:basedOn w:val="933"/>
    <w:next w:val="933"/>
    <w:link w:val="927"/>
    <w:uiPriority w:val="99"/>
    <w:pPr>
      <w:spacing w:after="95"/>
    </w:pPr>
    <w:rPr>
      <w:color w:val="000000"/>
    </w:rPr>
  </w:style>
  <w:style w:type="paragraph" w:styleId="965">
    <w:name w:val="CM32"/>
    <w:basedOn w:val="933"/>
    <w:next w:val="933"/>
    <w:link w:val="927"/>
    <w:uiPriority w:val="99"/>
    <w:rPr>
      <w:color w:val="000000"/>
    </w:rPr>
  </w:style>
  <w:style w:type="paragraph" w:styleId="966">
    <w:name w:val="CM33"/>
    <w:basedOn w:val="933"/>
    <w:next w:val="933"/>
    <w:link w:val="927"/>
    <w:uiPriority w:val="99"/>
    <w:pPr>
      <w:spacing w:line="180" w:lineRule="atLeast"/>
    </w:pPr>
    <w:rPr>
      <w:color w:val="000000"/>
    </w:rPr>
  </w:style>
  <w:style w:type="paragraph" w:styleId="967">
    <w:name w:val="CM34"/>
    <w:basedOn w:val="933"/>
    <w:next w:val="933"/>
    <w:link w:val="927"/>
    <w:uiPriority w:val="99"/>
    <w:pPr>
      <w:spacing w:line="180" w:lineRule="atLeast"/>
    </w:pPr>
    <w:rPr>
      <w:color w:val="000000"/>
    </w:rPr>
  </w:style>
  <w:style w:type="paragraph" w:styleId="968">
    <w:name w:val="CM35"/>
    <w:basedOn w:val="933"/>
    <w:next w:val="933"/>
    <w:link w:val="927"/>
    <w:uiPriority w:val="99"/>
    <w:pPr>
      <w:spacing w:line="180" w:lineRule="atLeast"/>
    </w:pPr>
    <w:rPr>
      <w:color w:val="000000"/>
    </w:rPr>
  </w:style>
  <w:style w:type="paragraph" w:styleId="969">
    <w:name w:val="CM36"/>
    <w:basedOn w:val="933"/>
    <w:next w:val="933"/>
    <w:link w:val="927"/>
    <w:uiPriority w:val="99"/>
    <w:pPr>
      <w:spacing w:line="180" w:lineRule="atLeast"/>
    </w:pPr>
    <w:rPr>
      <w:color w:val="000000"/>
    </w:rPr>
  </w:style>
  <w:style w:type="paragraph" w:styleId="970">
    <w:name w:val="CM37"/>
    <w:basedOn w:val="933"/>
    <w:next w:val="933"/>
    <w:link w:val="927"/>
    <w:uiPriority w:val="99"/>
    <w:pPr>
      <w:spacing w:line="180" w:lineRule="atLeast"/>
    </w:pPr>
    <w:rPr>
      <w:color w:val="000000"/>
    </w:rPr>
  </w:style>
  <w:style w:type="paragraph" w:styleId="971">
    <w:name w:val="CM5"/>
    <w:basedOn w:val="933"/>
    <w:next w:val="933"/>
    <w:link w:val="927"/>
    <w:uiPriority w:val="99"/>
    <w:pPr>
      <w:spacing w:line="191" w:lineRule="atLeast"/>
    </w:pPr>
    <w:rPr>
      <w:color w:val="000000"/>
    </w:rPr>
  </w:style>
  <w:style w:type="paragraph" w:styleId="972">
    <w:name w:val="CM38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73">
    <w:name w:val="CM39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74">
    <w:name w:val="CM40"/>
    <w:basedOn w:val="933"/>
    <w:next w:val="933"/>
    <w:link w:val="927"/>
    <w:pPr>
      <w:spacing w:line="240" w:lineRule="atLeast"/>
    </w:pPr>
    <w:rPr>
      <w:color w:val="000000"/>
    </w:rPr>
  </w:style>
  <w:style w:type="paragraph" w:styleId="975">
    <w:name w:val="CM41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76">
    <w:name w:val="CM42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77">
    <w:name w:val="CM43"/>
    <w:basedOn w:val="933"/>
    <w:next w:val="933"/>
    <w:link w:val="927"/>
    <w:uiPriority w:val="99"/>
    <w:pPr>
      <w:spacing w:line="313" w:lineRule="atLeast"/>
    </w:pPr>
    <w:rPr>
      <w:color w:val="000000"/>
    </w:rPr>
  </w:style>
  <w:style w:type="paragraph" w:styleId="978">
    <w:name w:val="CM72"/>
    <w:basedOn w:val="933"/>
    <w:next w:val="933"/>
    <w:link w:val="927"/>
    <w:uiPriority w:val="99"/>
    <w:pPr>
      <w:spacing w:after="363"/>
    </w:pPr>
    <w:rPr>
      <w:color w:val="000000"/>
    </w:rPr>
  </w:style>
  <w:style w:type="paragraph" w:styleId="979">
    <w:name w:val="CM44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80">
    <w:name w:val="CM45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81">
    <w:name w:val="CM46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82">
    <w:name w:val="CM47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83">
    <w:name w:val="CM48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84">
    <w:name w:val="CM49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85">
    <w:name w:val="CM50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86">
    <w:name w:val="CM51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87">
    <w:name w:val="CM52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88">
    <w:name w:val="CM53"/>
    <w:basedOn w:val="933"/>
    <w:next w:val="933"/>
    <w:link w:val="927"/>
    <w:uiPriority w:val="99"/>
    <w:rPr>
      <w:color w:val="000000"/>
    </w:rPr>
  </w:style>
  <w:style w:type="paragraph" w:styleId="989">
    <w:name w:val="CM31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90">
    <w:name w:val="CM54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91">
    <w:name w:val="CM55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92">
    <w:name w:val="CM71"/>
    <w:basedOn w:val="933"/>
    <w:next w:val="933"/>
    <w:link w:val="927"/>
    <w:uiPriority w:val="99"/>
    <w:pPr>
      <w:spacing w:after="313"/>
    </w:pPr>
    <w:rPr>
      <w:color w:val="000000"/>
    </w:rPr>
  </w:style>
  <w:style w:type="paragraph" w:styleId="993">
    <w:name w:val="CM56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94">
    <w:name w:val="CM57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95">
    <w:name w:val="CM58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96">
    <w:name w:val="CM59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97">
    <w:name w:val="CM60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998">
    <w:name w:val="CM61"/>
    <w:basedOn w:val="933"/>
    <w:next w:val="933"/>
    <w:link w:val="927"/>
    <w:uiPriority w:val="99"/>
    <w:rPr>
      <w:color w:val="000000"/>
    </w:rPr>
  </w:style>
  <w:style w:type="paragraph" w:styleId="999">
    <w:name w:val="CM62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1000">
    <w:name w:val="CM63"/>
    <w:basedOn w:val="933"/>
    <w:next w:val="933"/>
    <w:link w:val="927"/>
    <w:uiPriority w:val="99"/>
    <w:pPr>
      <w:spacing w:line="240" w:lineRule="atLeast"/>
    </w:pPr>
    <w:rPr>
      <w:color w:val="000000"/>
    </w:rPr>
  </w:style>
  <w:style w:type="paragraph" w:styleId="1001">
    <w:name w:val="CM64"/>
    <w:basedOn w:val="933"/>
    <w:next w:val="933"/>
    <w:link w:val="927"/>
    <w:pPr>
      <w:spacing w:line="240" w:lineRule="atLeast"/>
    </w:pPr>
    <w:rPr>
      <w:color w:val="000000"/>
    </w:rPr>
  </w:style>
  <w:style w:type="paragraph" w:styleId="1002">
    <w:name w:val="CM65"/>
    <w:basedOn w:val="933"/>
    <w:next w:val="933"/>
    <w:link w:val="927"/>
    <w:uiPriority w:val="99"/>
    <w:pPr>
      <w:spacing w:line="360" w:lineRule="atLeast"/>
    </w:pPr>
    <w:rPr>
      <w:color w:val="000000"/>
    </w:rPr>
  </w:style>
  <w:style w:type="paragraph" w:styleId="1003">
    <w:name w:val="Heading"/>
    <w:next w:val="1003"/>
    <w:link w:val="927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1004">
    <w:name w:val="Основной текст с отступом 3"/>
    <w:basedOn w:val="927"/>
    <w:next w:val="1004"/>
    <w:link w:val="1005"/>
    <w:uiPriority w:val="99"/>
    <w:pPr>
      <w:ind w:left="283"/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styleId="1005">
    <w:name w:val="Основной текст с отступом 3 Знак"/>
    <w:next w:val="1005"/>
    <w:link w:val="1004"/>
    <w:uiPriority w:val="99"/>
    <w:rPr>
      <w:rFonts w:ascii="Times New Roman" w:hAnsi="Times New Roman" w:cs="Times New Roman"/>
      <w:sz w:val="16"/>
      <w:szCs w:val="16"/>
    </w:rPr>
  </w:style>
  <w:style w:type="paragraph" w:styleId="1006">
    <w:name w:val="заголовок 1"/>
    <w:basedOn w:val="927"/>
    <w:next w:val="927"/>
    <w:link w:val="927"/>
    <w:pPr>
      <w:jc w:val="center"/>
      <w:keepNext/>
      <w:spacing w:after="0" w:line="240" w:lineRule="auto"/>
      <w:outlineLvl w:val="0"/>
    </w:pPr>
    <w:rPr>
      <w:rFonts w:ascii="Times New Roman" w:hAnsi="Times New Roman"/>
      <w:color w:val="000000"/>
      <w:sz w:val="24"/>
      <w:szCs w:val="24"/>
    </w:rPr>
  </w:style>
  <w:style w:type="paragraph" w:styleId="1007">
    <w:name w:val="Обычный (веб)"/>
    <w:basedOn w:val="927"/>
    <w:next w:val="1007"/>
    <w:link w:val="927"/>
    <w:uiPriority w:val="99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1008">
    <w:name w:val="ConsNormal"/>
    <w:next w:val="1008"/>
    <w:link w:val="92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09">
    <w:name w:val="Название,Заголовок,Название1"/>
    <w:basedOn w:val="927"/>
    <w:next w:val="1009"/>
    <w:link w:val="1010"/>
    <w:qFormat/>
    <w:pPr>
      <w:jc w:val="center"/>
      <w:spacing w:after="0" w:line="240" w:lineRule="auto"/>
    </w:pPr>
    <w:rPr>
      <w:rFonts w:ascii="Times New Roman" w:hAnsi="Times New Roman"/>
      <w:b/>
      <w:sz w:val="20"/>
      <w:szCs w:val="20"/>
      <w:lang w:val="en-US" w:eastAsia="en-US"/>
    </w:rPr>
  </w:style>
  <w:style w:type="character" w:styleId="1010">
    <w:name w:val="Название Знак"/>
    <w:next w:val="1010"/>
    <w:link w:val="1009"/>
    <w:rPr>
      <w:rFonts w:ascii="Times New Roman" w:hAnsi="Times New Roman" w:cs="Times New Roman"/>
      <w:b/>
      <w:sz w:val="20"/>
      <w:szCs w:val="20"/>
    </w:rPr>
  </w:style>
  <w:style w:type="paragraph" w:styleId="1011">
    <w:name w:val="Мой"/>
    <w:basedOn w:val="927"/>
    <w:next w:val="1011"/>
    <w:link w:val="927"/>
    <w:pPr>
      <w:jc w:val="both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012">
    <w:name w:val="Текст"/>
    <w:basedOn w:val="927"/>
    <w:next w:val="1012"/>
    <w:link w:val="1013"/>
    <w:semiHidden/>
    <w:unhideWhenUsed/>
    <w:pPr>
      <w:spacing w:after="0" w:line="240" w:lineRule="auto"/>
    </w:pPr>
    <w:rPr>
      <w:rFonts w:ascii="Consolas" w:hAnsi="Consolas"/>
      <w:sz w:val="21"/>
      <w:szCs w:val="21"/>
      <w:lang w:val="en-US" w:eastAsia="en-US"/>
    </w:rPr>
  </w:style>
  <w:style w:type="character" w:styleId="1013">
    <w:name w:val="Текст Знак"/>
    <w:next w:val="1013"/>
    <w:link w:val="1012"/>
    <w:semiHidden/>
    <w:rPr>
      <w:rFonts w:ascii="Consolas" w:hAnsi="Consolas" w:cs="Times New Roman"/>
      <w:sz w:val="21"/>
      <w:szCs w:val="21"/>
      <w:lang w:eastAsia="en-US"/>
    </w:rPr>
  </w:style>
  <w:style w:type="paragraph" w:styleId="1014">
    <w:name w:val="consnormal"/>
    <w:next w:val="1014"/>
    <w:link w:val="927"/>
    <w:pPr>
      <w:ind w:right="19772" w:firstLine="720"/>
    </w:pPr>
    <w:rPr>
      <w:rFonts w:ascii="Arial" w:hAnsi="Arial" w:cs="Arial"/>
      <w:sz w:val="22"/>
      <w:szCs w:val="22"/>
      <w:lang w:val="ru-RU" w:eastAsia="ru-RU" w:bidi="ar-SA"/>
    </w:rPr>
  </w:style>
  <w:style w:type="paragraph" w:styleId="1015">
    <w:name w:val="Текст выноски"/>
    <w:basedOn w:val="927"/>
    <w:next w:val="1015"/>
    <w:link w:val="101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1016">
    <w:name w:val="Текст выноски Знак"/>
    <w:next w:val="1016"/>
    <w:link w:val="1015"/>
    <w:uiPriority w:val="99"/>
    <w:semiHidden/>
    <w:rPr>
      <w:rFonts w:ascii="Tahoma" w:hAnsi="Tahoma" w:cs="Tahoma"/>
      <w:sz w:val="16"/>
      <w:szCs w:val="16"/>
    </w:rPr>
  </w:style>
  <w:style w:type="table" w:styleId="1017">
    <w:name w:val="Сетка таблицы"/>
    <w:basedOn w:val="931"/>
    <w:next w:val="1017"/>
    <w:link w:val="927"/>
    <w:uiPriority w:val="59"/>
    <w:tblPr/>
  </w:style>
  <w:style w:type="paragraph" w:styleId="1018">
    <w:name w:val="Верхний колонтитул"/>
    <w:basedOn w:val="927"/>
    <w:next w:val="1018"/>
    <w:link w:val="1019"/>
    <w:uiPriority w:val="99"/>
    <w:unhideWhenUsed/>
    <w:pPr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1019">
    <w:name w:val="Верхний колонтитул Знак"/>
    <w:next w:val="1019"/>
    <w:link w:val="1018"/>
    <w:uiPriority w:val="99"/>
    <w:rPr>
      <w:rFonts w:cs="Times New Roman"/>
    </w:rPr>
  </w:style>
  <w:style w:type="paragraph" w:styleId="1020">
    <w:name w:val="Нижний колонтитул"/>
    <w:basedOn w:val="927"/>
    <w:next w:val="1020"/>
    <w:link w:val="1021"/>
    <w:uiPriority w:val="99"/>
    <w:unhideWhenUsed/>
    <w:pPr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1021">
    <w:name w:val="Нижний колонтитул Знак"/>
    <w:next w:val="1021"/>
    <w:link w:val="1020"/>
    <w:uiPriority w:val="99"/>
    <w:rPr>
      <w:rFonts w:cs="Times New Roman"/>
    </w:rPr>
  </w:style>
  <w:style w:type="paragraph" w:styleId="1022">
    <w:name w:val="Абзац списка"/>
    <w:basedOn w:val="927"/>
    <w:next w:val="1022"/>
    <w:link w:val="927"/>
    <w:uiPriority w:val="34"/>
    <w:qFormat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1023">
    <w:name w:val="Заголовок 3 Знак"/>
    <w:next w:val="1023"/>
    <w:link w:val="929"/>
    <w:rPr>
      <w:rFonts w:ascii="Arial" w:hAnsi="Arial" w:cs="Arial"/>
      <w:b/>
      <w:bCs/>
      <w:sz w:val="26"/>
      <w:szCs w:val="26"/>
    </w:rPr>
  </w:style>
  <w:style w:type="paragraph" w:styleId="1024">
    <w:name w:val="Абзац списка1"/>
    <w:basedOn w:val="927"/>
    <w:next w:val="1024"/>
    <w:link w:val="927"/>
    <w:pPr>
      <w:contextualSpacing/>
      <w:ind w:left="720"/>
    </w:pPr>
    <w:rPr>
      <w:lang w:eastAsia="en-US"/>
    </w:rPr>
  </w:style>
  <w:style w:type="character" w:styleId="1025">
    <w:name w:val="Знак примечания"/>
    <w:next w:val="1025"/>
    <w:link w:val="927"/>
    <w:uiPriority w:val="99"/>
    <w:semiHidden/>
    <w:unhideWhenUsed/>
    <w:rPr>
      <w:sz w:val="16"/>
      <w:szCs w:val="16"/>
    </w:rPr>
  </w:style>
  <w:style w:type="paragraph" w:styleId="1026">
    <w:name w:val="Текст примечания"/>
    <w:basedOn w:val="927"/>
    <w:next w:val="1026"/>
    <w:link w:val="1027"/>
    <w:uiPriority w:val="99"/>
    <w:semiHidden/>
    <w:unhideWhenUsed/>
    <w:rPr>
      <w:sz w:val="20"/>
      <w:szCs w:val="20"/>
    </w:rPr>
  </w:style>
  <w:style w:type="character" w:styleId="1027">
    <w:name w:val="Текст примечания Знак"/>
    <w:basedOn w:val="930"/>
    <w:next w:val="1027"/>
    <w:link w:val="1026"/>
    <w:uiPriority w:val="99"/>
    <w:semiHidden/>
  </w:style>
  <w:style w:type="paragraph" w:styleId="1028">
    <w:name w:val="Тема примечания"/>
    <w:basedOn w:val="1026"/>
    <w:next w:val="1026"/>
    <w:link w:val="1029"/>
    <w:uiPriority w:val="99"/>
    <w:semiHidden/>
    <w:unhideWhenUsed/>
    <w:rPr>
      <w:b/>
      <w:bCs/>
      <w:lang w:val="en-US" w:eastAsia="en-US"/>
    </w:rPr>
  </w:style>
  <w:style w:type="character" w:styleId="1029">
    <w:name w:val="Тема примечания Знак"/>
    <w:next w:val="1029"/>
    <w:link w:val="1028"/>
    <w:uiPriority w:val="99"/>
    <w:semiHidden/>
    <w:rPr>
      <w:b/>
      <w:bCs/>
    </w:rPr>
  </w:style>
  <w:style w:type="paragraph" w:styleId="1030">
    <w:name w:val="Основной текст с отступом"/>
    <w:basedOn w:val="927"/>
    <w:next w:val="1030"/>
    <w:link w:val="1031"/>
    <w:uiPriority w:val="99"/>
    <w:semiHidden/>
    <w:unhideWhenUsed/>
    <w:pPr>
      <w:ind w:left="283"/>
      <w:spacing w:after="120"/>
    </w:pPr>
    <w:rPr>
      <w:lang w:val="en-US" w:eastAsia="en-US"/>
    </w:rPr>
  </w:style>
  <w:style w:type="character" w:styleId="1031">
    <w:name w:val="Основной текст с отступом Знак"/>
    <w:next w:val="1031"/>
    <w:link w:val="1030"/>
    <w:uiPriority w:val="99"/>
    <w:semiHidden/>
    <w:rPr>
      <w:sz w:val="22"/>
      <w:szCs w:val="22"/>
    </w:rPr>
  </w:style>
  <w:style w:type="character" w:styleId="1032">
    <w:name w:val="Заголовок 1 Знак"/>
    <w:next w:val="1032"/>
    <w:link w:val="928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33">
    <w:name w:val="ConsPlusNormal"/>
    <w:next w:val="1033"/>
    <w:link w:val="927"/>
    <w:pPr>
      <w:widowControl w:val="off"/>
    </w:pPr>
    <w:rPr>
      <w:rFonts w:ascii="Arial" w:hAnsi="Arial" w:cs="Arial"/>
      <w:lang w:val="ru-RU" w:eastAsia="ru-RU" w:bidi="ar-SA"/>
    </w:rPr>
  </w:style>
  <w:style w:type="paragraph" w:styleId="1034">
    <w:name w:val="Рецензия"/>
    <w:next w:val="1034"/>
    <w:link w:val="927"/>
    <w:hidden/>
    <w:uiPriority w:val="99"/>
    <w:semiHidden/>
    <w:rPr>
      <w:sz w:val="22"/>
      <w:szCs w:val="22"/>
      <w:lang w:val="ru-RU" w:eastAsia="ru-RU" w:bidi="ar-SA"/>
    </w:rPr>
  </w:style>
  <w:style w:type="character" w:styleId="1035" w:default="1">
    <w:name w:val="Default Paragraph Font"/>
    <w:uiPriority w:val="1"/>
    <w:semiHidden/>
    <w:unhideWhenUsed/>
  </w:style>
  <w:style w:type="numbering" w:styleId="1036" w:default="1">
    <w:name w:val="No List"/>
    <w:uiPriority w:val="99"/>
    <w:semiHidden/>
    <w:unhideWhenUsed/>
  </w:style>
  <w:style w:type="table" w:styleId="10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юя___5_B_&gt;_4_8_G_5_A_:_8_5</dc:title>
  <dc:creator>GERA_DESIGN1</dc:creator>
  <cp:revision>8</cp:revision>
  <dcterms:created xsi:type="dcterms:W3CDTF">2022-02-24T02:31:00Z</dcterms:created>
  <dcterms:modified xsi:type="dcterms:W3CDTF">2024-06-25T08:59:54Z</dcterms:modified>
  <cp:version>1048576</cp:version>
</cp:coreProperties>
</file>