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jc w:val="center"/>
        <w:spacing w:after="0" w:line="24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 xml:space="preserve">456</w:t>
      </w: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части 1 статьи 37 Федерального </w:t>
      </w:r>
      <w:r>
        <w:rPr>
          <w:rFonts w:ascii="Times New Roman" w:hAnsi="Times New Roman"/>
          <w:sz w:val="28"/>
          <w:szCs w:val="28"/>
        </w:rPr>
        <w:t xml:space="preserve">закона от 12.12.2023 № 565-ФЗ «О занятости населения в Российской Федерации», постановлением Правительства Российской Федерации от 30.05.2024 № 709 «О порядке выполнения работодателями квоты для приема на работу инвалидов» </w:t>
      </w: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21.10.2013 № 456-п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квотировании рабочих мест для трудоустройства инвалидов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Наименование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установлении квоты </w:t>
      </w:r>
      <w:r>
        <w:rPr>
          <w:rFonts w:ascii="Times New Roman" w:hAnsi="Times New Roman" w:cs="Times New Roman"/>
          <w:sz w:val="28"/>
          <w:szCs w:val="28"/>
        </w:rPr>
        <w:t xml:space="preserve">для приема на работу инвалидов и количества специальных рабочих мест для трудоустройства инвалидов в Новосибирской области»;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В преамбуле слова «Законом Российской Федерации от 19.04.1991 № 1032-1 «О занятости населения в Российской Федерации»» заменить словами «Федеральным законом  </w:t>
      </w:r>
      <w:r>
        <w:rPr>
          <w:rFonts w:ascii="Times New Roman" w:hAnsi="Times New Roman"/>
          <w:sz w:val="28"/>
          <w:szCs w:val="28"/>
        </w:rPr>
        <w:t xml:space="preserve">от 12.12.2023 № 565-ФЗ «О занятости населения в Российской Федерации»».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 Пункт 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«У</w:t>
      </w:r>
      <w:r>
        <w:rPr>
          <w:rFonts w:ascii="Times New Roman" w:hAnsi="Times New Roman"/>
          <w:sz w:val="28"/>
          <w:szCs w:val="28"/>
          <w:highlight w:val="none"/>
        </w:rPr>
        <w:t xml:space="preserve">становить работодателям, у которых численность работников превышает 35 человек, квоту для приема на работу инвалидов в размере трех процентов от среднесписочной численности работников.».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4. После пункта 1 дополнить пунктом 1.1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«1.1. Установить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минимальное количество специальных рабочих мест для трудоустройства инвалидов в пределах установленной квоты для работодателей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размере: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одного специального рабочего места для работодателей, численность работников которых составляет от 101 до 250 человек;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двух специальных рабочих мест для работодателей, численность работников которых составляет от 251 до 500 человек;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трех специальных рабочих мест для работодателей, численность работников которых превышает 500 человек.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Численность работников для установления минимального количества специальных рабочих мест определяется работодателем, исходя от среднесписочной численности работников, рассчитанной в целях исполнения квоты.».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5. </w:t>
      </w: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</w:rPr>
        <w:t xml:space="preserve"> Порядке квотирования рабочих мест для трудоустройства инвалидов в Новосибирской области: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14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) в пункте 1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лова «Законом Российской Федерации от 19.04.1991 № 1032-1 «О занятости населения в Российской Федерации»» заменить словами «Федеральным законом </w:t>
      </w:r>
      <w:r>
        <w:rPr>
          <w:rFonts w:ascii="Times New Roman" w:hAnsi="Times New Roman"/>
          <w:sz w:val="28"/>
          <w:szCs w:val="28"/>
        </w:rPr>
        <w:t xml:space="preserve">от 12.12.2023 № 565-ФЗ «О занятости населения в Российской Федерации»»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2) пункт 5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«5. Государственные казенные учреждения Новосибирской области центры занятости населения (далее – центры занятости населения) осуществляют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информирование граждан и работодателей о положении на рынке труда в Российской Федерации, правах и гарантиях граждан в сфере занятости населения и защиты их от безработицы, в том числе об установлении квоты для приема на работу инвалидов.»;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/>
          <w:sz w:val="28"/>
          <w:szCs w:val="28"/>
        </w:rPr>
        <w:t xml:space="preserve">пункт 6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«6. Работодатели </w:t>
      </w:r>
      <w:r>
        <w:rPr>
          <w:rFonts w:ascii="Times New Roman" w:hAnsi="Times New Roman" w:eastAsia="Times New Roman"/>
          <w:sz w:val="28"/>
          <w:szCs w:val="28"/>
        </w:rPr>
        <w:t xml:space="preserve">рассчит</w:t>
      </w:r>
      <w:r>
        <w:rPr>
          <w:rFonts w:ascii="Times New Roman" w:hAnsi="Times New Roman" w:eastAsia="Times New Roman"/>
          <w:sz w:val="28"/>
          <w:szCs w:val="28"/>
        </w:rPr>
        <w:t xml:space="preserve">ыв</w:t>
      </w:r>
      <w:r>
        <w:rPr>
          <w:rFonts w:ascii="Times New Roman" w:hAnsi="Times New Roman" w:eastAsia="Times New Roman"/>
          <w:sz w:val="28"/>
          <w:szCs w:val="28"/>
        </w:rPr>
        <w:t xml:space="preserve">ают квоту для приема на работу инвалидов </w:t>
      </w:r>
      <w:r>
        <w:rPr>
          <w:rFonts w:ascii="Times New Roman" w:hAnsi="Times New Roman" w:eastAsia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с частями 3-5, 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статьи 38 Федерального закона </w:t>
      </w:r>
      <w:r>
        <w:rPr>
          <w:rFonts w:ascii="Times New Roman" w:hAnsi="Times New Roman"/>
          <w:sz w:val="28"/>
          <w:szCs w:val="28"/>
        </w:rPr>
        <w:t xml:space="preserve">от 12.12.2023 № 565-ФЗ «О занятости населения в Российской Федерации» </w:t>
      </w:r>
      <w:r>
        <w:rPr>
          <w:rFonts w:ascii="Times New Roman" w:hAnsi="Times New Roman"/>
          <w:sz w:val="28"/>
          <w:szCs w:val="28"/>
        </w:rPr>
        <w:t xml:space="preserve">и пунктом 2 Правил выполнения работодателями квоты для приема на работу инвалидов, утвержденных постановлением Правительства Российской Федерации от 30.05.2024 № 709 «О порядке выполнения работодателями квоты для приема на работу инвалидов», а именно: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численность работников, которые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жны быть трудоустроены в целях исполнения квоты, рассчитывается работодателем ежеквартально, до десятого числа месяца, следующего за отчетным кварталом, исходя из среднесписочной численности работников за предыдущий квартал без учета работников представите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льств и филиалов работодателя, расположенных в других субъектах Российской Федерации, а также численности работников, условия труда на рабочих местах которых отнесены к вредным и (или) опасным условиям труда по результатам специальной оценки условий труда.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5"/>
        <w:ind w:left="0" w:right="0" w:firstLine="709"/>
        <w:jc w:val="both"/>
        <w:spacing w:before="0" w:beforeAutospacing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расчете численности работников для приема на работу инвалидов округление дробного числа производится в сторону уменьшения до целого значения. В случае если размер рассчитанной квоты менее единицы, значение квоты принимается равным единице.»;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5"/>
        <w:ind w:left="0" w:right="0" w:firstLine="709"/>
        <w:jc w:val="both"/>
        <w:spacing w:before="0" w:beforeAutospacing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после пункта 6 дополнить пунктом 6.1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5"/>
        <w:ind w:left="0" w:right="0" w:firstLine="709"/>
        <w:jc w:val="both"/>
        <w:spacing w:before="0" w:beforeAutospacing="0" w:after="0"/>
        <w:tabs>
          <w:tab w:val="center" w:pos="496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«6.1. В соответствии с пунктом 4 </w:t>
      </w:r>
      <w:r>
        <w:rPr>
          <w:rFonts w:ascii="Times New Roman" w:hAnsi="Times New Roman"/>
          <w:sz w:val="28"/>
          <w:szCs w:val="28"/>
        </w:rPr>
        <w:t xml:space="preserve">Правил выполнения работодателями квоты для приема на работу инвалидов, утвержденных постановлением Правительства Российской Федерации от 30.05.2024 № 709 «О порядке выполнения работодателями квоты для приема на работу инвалидов»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работодатель освобождается от выполнения установленной квоты: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5"/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случае если работодатели являются общественными объединениями инвалидов и образованными ими организациями, в том числе хозяйственными товариществами и обществами, уставный (складочный) капитал которых состоит из вклада общественного объединения инвалидов;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при признании работодателя несостоятельным (банкротом) и открытии конкурсного производства;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 при уменьшении численности работников до числа работников, при котором квота не устанавливается;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ind w:left="0" w:right="0" w:firstLine="709"/>
        <w:jc w:val="both"/>
        <w:spacing w:before="0" w:beforeAutospacing="0" w:after="0"/>
        <w:tabs>
          <w:tab w:val="center" w:pos="496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 при отсутствии на учете в центрах занятости населения безработных инвалидов, инвалидов, зарегистрированных в качестве ищущих работу соответс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твующих профессионально-квалификационным требованиям к вакансиям, заявленным работодателем, либо при отсутствии в субъекте Российской Федерации, где находится работодатель, иных организаций или индивидуальных предпринимателей, готовых заключить соглашение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трудоустройстве инвалида с работодателем, которому установлена квота </w:t>
        <w:br/>
        <w:t xml:space="preserve">(далее – соглашение)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 7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«7. В соответствии с частями 6-8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статьи 38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12.12.2023 № 565-ФЗ «О занятости населения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пункта 3 </w:t>
      </w:r>
      <w:r>
        <w:rPr>
          <w:rFonts w:ascii="Times New Roman" w:hAnsi="Times New Roman"/>
          <w:sz w:val="28"/>
          <w:szCs w:val="28"/>
        </w:rPr>
        <w:t xml:space="preserve">Порядка выполнения работодателями квоты для приема на работу инвалидов, утвержденного постановлением Правительства Российской Федерации от 30.05.2024 № 709 «О порядке выполнения работодателями квоты для приема на работу инвалидов»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квота для приема на работу инвалидов считается выполненной работодателем в случае: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заключенного трудового договора с инвалидом на рабочее место непосредственно у работодателя. При трудоустройстве одного инвалида I группы исполнение квоты считается кратным двум рабочим местам для трудоустройства инвалидов;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 заключенного трудового договора между инвалидом и иной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ественного объединения инвалидов (далее – иная организация), заключившей соглашение;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 заключенного трудового договора между инвалидом и индивидуальным предпринимателем, заключившим соглашение;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 договора возмездного оказания услуг или иного договора с организацией, обеспечивающей для группы организаций выполнение квоты посредством заключения соглашения с иной организацией или индивидуальным предпринимателем, заключенного трудового договора между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инвалидом и иной организацией, индивидуальным предпринимателем.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Трудоустройство инвалидов в соответствии с соглашением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должно осуществляться на территории субъекта Российской Федерации по месту нахождения работодателя (его представительс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тва, филиала).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Правила заключения соглашения и его форма утверждены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30.05.2024 № 709 «О порядке выполнения работодателями квоты для приема на работу инвалидов»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 пункт 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«8. Работодатели, которым установлена квота для трудоустройства инвалидов, в соответствии с пунктом 7 части 1, частями 2, 7, 9, 10 статьи 53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 xml:space="preserve">от 12.12.2023 № 565-ФЗ «О занятости населения в Российской Федерации»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ежемесячно не позднее 10-го числа месяца, следующего за отчетным месяцем, информируют центры занятости населения о выполнении квоты для приема на работу инвалидов.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Информирование осуществляется посредством размещения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единой цифровой платформе в сфере занятости и трудовых отношений «Работа в России» (далее – единая цифровая платформа) или на иных информационных ресурсах, на которых может размещаться такая информа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ция в соответствии с порядком, утвержденным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Информация предоставляется работодателям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в центры занятости населения по формам, утвержденным приказом Министерства труда и социальной защиты Российской Федерации от 16.04.2024 № 195н «Об утверждении форм предоставления работодателями обязательной информации, предусмотренной частью 1 статьи 53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 xml:space="preserve">от 12.12.2023 № 565-ФЗ «О занятости населения в Российской Федерации.»;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10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«10. Центры занятости населения: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на основании информации, указанной в пункте 7 настоящего Порядка, формируют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сведения о наличии свободных рабочих мест и вакантных должностей, специальных рабочих мест для трудоустройства инвалидов;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выдают инвалидам направления на работу для трудоустройства в счет установленной квоты;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обращения работодателя осуществляют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содействие в подборе работников из числа инвалидов, зарегистрированных в центрах занятости населения в качестве безработных или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состоящих на учете в качестве ищущих работу;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 при отсутствии на учете в центрах занятости населения безработных инвалидов, инвалидов, зарегистрированных в качестве ищущих работу, соответствующих профессионально-квалификационным требованиям к вакантным рабочим местам, заявленным работод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ателем, центры занятости населения обращаются к иным организациям, в том числе:</w:t>
      </w:r>
      <w:r/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общественным объединениям инвалидов – за содействием в поиске работников из числа инвалидов, соответствующих профессионально-квалификационным требованиям к вакантным рабочим местам, заявленным работодателем;</w:t>
      </w:r>
      <w:r/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инвалидов, или индивидуальным предпринимателям в субъекте Российской Федерации, в котором осуществляет хоз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яйственную деятельность работодатель, согласным заключить соглашение, – за информацией о согласии этих организаций или индивидуальных предпринимателей заключить соглашение с работодателем.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зависимости от информации, полученной в соответствии с абзацами вторым и третьим подпункта «г» настоящего пункта, информируют работодателя или о возможности трудоустройства инвалидов в счет выполнения квоты, или о заключении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соглашения.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отсутствия возможности трудоустройства инвалидов в счет выполнения квоты или заключения соглашения информируют работодателя о невозможности выполнения квоты в текущем квартале;</w:t>
      </w:r>
      <w:r/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 оказывают работодателю содействие в расчете квоты и установлении численности фактически трудоустроенных инвалидов, а также реализуют иные меры, предусмотренные законодательством о занятости населения и направленны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на трудоустройство инвалидов.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 по запросам работодателей предоставляют информацию об организациях, включая общественные объединения инвалидов и образованные ими организации, в том числе хозяйственные товарищества и общества, уставный (складочны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й) капитал которых состоит из вклада общественного объединения инвалидов, и индивидуальных предпринимателях, согласных на трудоустройство инвалидов в соответствии с соглашением.»;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8) пункт 11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«11</w:t>
      </w:r>
      <w:r>
        <w:rPr>
          <w:rFonts w:ascii="Times New Roman" w:hAnsi="Times New Roman"/>
          <w:sz w:val="28"/>
          <w:szCs w:val="28"/>
          <w:highlight w:val="none"/>
        </w:rPr>
        <w:t xml:space="preserve">. В соответствии с частью 11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статьи 53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 xml:space="preserve">от 12.12.2023 № 565-ФЗ «О занятости населения в Российской Федерации»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ном переговоров, а в случае отказа в приеме на работу гражданина –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</w:t>
      </w:r>
      <w:r>
        <w:rPr>
          <w:rFonts w:ascii="Times New Roman" w:hAnsi="Times New Roman"/>
          <w:sz w:val="28"/>
          <w:szCs w:val="28"/>
          <w:highlight w:val="none"/>
        </w:rPr>
        <w:t xml:space="preserve">ых с гражданином переговоров, а в случае отказа в приеме на работу гражданина – также информацию о причине отказа и возвращает направление гражданину.».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  <w:tab/>
        <w:tab/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914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92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4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0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544"/>
      </w:tblGrid>
      <w:tr>
        <w:tblPrEx/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both"/>
              <w:spacing w:after="0" w:line="240" w:lineRule="auto"/>
              <w:tabs>
                <w:tab w:val="left" w:pos="114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Нелюбов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4"/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4"/>
              <w:ind w:right="15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 Решетников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Н</w:t>
            </w:r>
            <w:r>
              <w:rPr>
                <w:rFonts w:ascii="Times New Roman" w:hAnsi="Times New Roman"/>
                <w:szCs w:val="24"/>
              </w:rPr>
              <w:t xml:space="preserve">ачальник</w:t>
            </w:r>
            <w:r>
              <w:rPr>
                <w:rFonts w:ascii="Times New Roman" w:hAnsi="Times New Roman"/>
                <w:szCs w:val="24"/>
              </w:rPr>
              <w:t xml:space="preserve"> правового</w:t>
            </w:r>
            <w:r>
              <w:rPr>
                <w:rFonts w:ascii="Times New Roman" w:hAnsi="Times New Roman"/>
                <w:szCs w:val="24"/>
              </w:rPr>
              <w:t xml:space="preserve"> управления 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Е.В. Нарубина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  <w:tr>
        <w:tblPrEx/>
        <w:trPr>
          <w:trHeight w:val="5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4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4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Начальник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 управления занятости населени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</w:tbl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4"/>
      </w:pPr>
      <w:r/>
      <w:r/>
    </w:p>
    <w:p>
      <w:pPr>
        <w:pStyle w:val="91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4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Н.Ю. Медведева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</w:t>
      </w:r>
      <w:r>
        <w:rPr>
          <w:rFonts w:ascii="Times New Roman" w:hAnsi="Times New Roman"/>
          <w:sz w:val="20"/>
          <w:szCs w:val="20"/>
        </w:rPr>
        <w:t xml:space="preserve">88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020" w:right="567" w:bottom="1020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87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20"/>
  </w:num>
  <w:num w:numId="13">
    <w:abstractNumId w:val="9"/>
  </w:num>
  <w:num w:numId="14">
    <w:abstractNumId w:val="8"/>
  </w:num>
  <w:num w:numId="15">
    <w:abstractNumId w:val="11"/>
  </w:num>
  <w:num w:numId="16">
    <w:abstractNumId w:val="17"/>
  </w:num>
  <w:num w:numId="17">
    <w:abstractNumId w:val="21"/>
  </w:num>
  <w:num w:numId="18">
    <w:abstractNumId w:val="0"/>
  </w:num>
  <w:num w:numId="19">
    <w:abstractNumId w:val="5"/>
  </w:num>
  <w:num w:numId="20">
    <w:abstractNumId w:val="1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766"/>
    <w:uiPriority w:val="99"/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15">
    <w:name w:val="Основной шрифт абзаца"/>
    <w:next w:val="915"/>
    <w:link w:val="914"/>
    <w:uiPriority w:val="1"/>
    <w:semiHidden/>
    <w:unhideWhenUsed/>
  </w:style>
  <w:style w:type="table" w:styleId="916">
    <w:name w:val="Обычная таблица"/>
    <w:next w:val="916"/>
    <w:link w:val="914"/>
    <w:uiPriority w:val="99"/>
    <w:semiHidden/>
    <w:unhideWhenUsed/>
    <w:tblPr/>
  </w:style>
  <w:style w:type="numbering" w:styleId="917">
    <w:name w:val="Нет списка"/>
    <w:next w:val="917"/>
    <w:link w:val="914"/>
    <w:uiPriority w:val="99"/>
    <w:semiHidden/>
    <w:unhideWhenUsed/>
  </w:style>
  <w:style w:type="paragraph" w:styleId="918">
    <w:name w:val="Абзац списка"/>
    <w:basedOn w:val="914"/>
    <w:next w:val="918"/>
    <w:link w:val="914"/>
    <w:uiPriority w:val="34"/>
    <w:qFormat/>
    <w:pPr>
      <w:contextualSpacing/>
      <w:ind w:left="720"/>
    </w:pPr>
  </w:style>
  <w:style w:type="paragraph" w:styleId="919">
    <w:name w:val="Текст сноски"/>
    <w:basedOn w:val="914"/>
    <w:next w:val="919"/>
    <w:link w:val="920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0">
    <w:name w:val="Текст сноски Знак"/>
    <w:next w:val="920"/>
    <w:link w:val="91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1">
    <w:name w:val="Нижний колонтитул"/>
    <w:basedOn w:val="914"/>
    <w:next w:val="921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>
    <w:name w:val="Нижний колонтитул Знак"/>
    <w:basedOn w:val="915"/>
    <w:next w:val="922"/>
    <w:link w:val="921"/>
    <w:uiPriority w:val="99"/>
  </w:style>
  <w:style w:type="paragraph" w:styleId="923">
    <w:name w:val="Верхний колонтитул"/>
    <w:basedOn w:val="914"/>
    <w:next w:val="923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>
    <w:name w:val="Верхний колонтитул Знак"/>
    <w:basedOn w:val="915"/>
    <w:next w:val="924"/>
    <w:link w:val="923"/>
    <w:uiPriority w:val="99"/>
  </w:style>
  <w:style w:type="table" w:styleId="925">
    <w:name w:val="Сетка таблицы"/>
    <w:basedOn w:val="916"/>
    <w:next w:val="925"/>
    <w:link w:val="914"/>
    <w:uiPriority w:val="59"/>
    <w:pPr>
      <w:spacing w:after="0" w:line="240" w:lineRule="auto"/>
    </w:pPr>
    <w:tblPr/>
  </w:style>
  <w:style w:type="paragraph" w:styleId="926">
    <w:name w:val="Текст выноски"/>
    <w:basedOn w:val="914"/>
    <w:next w:val="926"/>
    <w:link w:val="9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7">
    <w:name w:val="Текст выноски Знак"/>
    <w:next w:val="927"/>
    <w:link w:val="926"/>
    <w:uiPriority w:val="99"/>
    <w:semiHidden/>
    <w:rPr>
      <w:rFonts w:ascii="Tahoma" w:hAnsi="Tahoma" w:cs="Tahoma"/>
      <w:sz w:val="16"/>
      <w:szCs w:val="16"/>
    </w:rPr>
  </w:style>
  <w:style w:type="paragraph" w:styleId="928">
    <w:name w:val="ConsPlusTitle"/>
    <w:next w:val="928"/>
    <w:link w:val="914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29">
    <w:name w:val="Основной текст с отступом"/>
    <w:basedOn w:val="914"/>
    <w:next w:val="929"/>
    <w:link w:val="930"/>
    <w:uiPriority w:val="99"/>
    <w:unhideWhenUsed/>
    <w:pPr>
      <w:ind w:left="283"/>
      <w:spacing w:after="120"/>
    </w:pPr>
    <w:rPr>
      <w:rFonts w:ascii="Calibri" w:hAnsi="Calibri" w:eastAsia="Times New Roman" w:cs="Times New Roman"/>
    </w:rPr>
  </w:style>
  <w:style w:type="character" w:styleId="930">
    <w:name w:val="Основной текст с отступом Знак"/>
    <w:next w:val="930"/>
    <w:link w:val="929"/>
    <w:uiPriority w:val="99"/>
    <w:rPr>
      <w:rFonts w:ascii="Calibri" w:hAnsi="Calibri" w:eastAsia="Times New Roman" w:cs="Times New Roman"/>
    </w:rPr>
  </w:style>
  <w:style w:type="character" w:styleId="931">
    <w:name w:val="Гиперссылка"/>
    <w:next w:val="931"/>
    <w:link w:val="914"/>
    <w:uiPriority w:val="99"/>
    <w:unhideWhenUsed/>
    <w:rPr>
      <w:rFonts w:cs="Times New Roman"/>
      <w:color w:val="0000ff"/>
      <w:u w:val="single"/>
    </w:rPr>
  </w:style>
  <w:style w:type="paragraph" w:styleId="932">
    <w:name w:val="ConsPlusNonformat"/>
    <w:next w:val="932"/>
    <w:link w:val="91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33">
    <w:name w:val="Текст"/>
    <w:basedOn w:val="914"/>
    <w:next w:val="933"/>
    <w:link w:val="934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934">
    <w:name w:val="Текст Знак"/>
    <w:next w:val="934"/>
    <w:link w:val="933"/>
    <w:uiPriority w:val="99"/>
    <w:semiHidden/>
    <w:rPr>
      <w:rFonts w:ascii="Calibri" w:hAnsi="Calibri"/>
      <w:szCs w:val="21"/>
    </w:rPr>
  </w:style>
  <w:style w:type="paragraph" w:styleId="935">
    <w:name w:val="ConsPlusNormal"/>
    <w:next w:val="935"/>
    <w:link w:val="936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36">
    <w:name w:val="ConsPlusNormal Знак"/>
    <w:next w:val="936"/>
    <w:link w:val="935"/>
    <w:rPr>
      <w:rFonts w:ascii="Arial" w:hAnsi="Arial" w:eastAsia="Times New Roman" w:cs="Arial"/>
      <w:sz w:val="20"/>
      <w:szCs w:val="20"/>
      <w:lang w:eastAsia="ru-RU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revision>9</cp:revision>
  <dcterms:created xsi:type="dcterms:W3CDTF">2023-03-21T10:11:00Z</dcterms:created>
  <dcterms:modified xsi:type="dcterms:W3CDTF">2024-08-13T06:36:35Z</dcterms:modified>
  <cp:version>917504</cp:version>
</cp:coreProperties>
</file>