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CC" w:rsidRPr="00356D97" w:rsidRDefault="005377CC" w:rsidP="005377CC">
      <w:pPr>
        <w:pStyle w:val="2"/>
        <w:jc w:val="center"/>
        <w:rPr>
          <w:sz w:val="2"/>
          <w:szCs w:val="28"/>
        </w:rPr>
      </w:pPr>
    </w:p>
    <w:p w:rsidR="005377CC" w:rsidRPr="00091C5D" w:rsidRDefault="005377CC" w:rsidP="005377C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91C5D">
        <w:rPr>
          <w:rFonts w:ascii="Times New Roman" w:hAnsi="Times New Roman"/>
          <w:sz w:val="28"/>
          <w:szCs w:val="28"/>
        </w:rPr>
        <w:t>ПРИЛОЖЕНИЕ № 1</w:t>
      </w:r>
    </w:p>
    <w:p w:rsidR="005377CC" w:rsidRPr="00091C5D" w:rsidRDefault="005377CC" w:rsidP="005377CC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91C5D">
        <w:rPr>
          <w:rFonts w:ascii="Times New Roman" w:hAnsi="Times New Roman"/>
          <w:sz w:val="28"/>
          <w:szCs w:val="28"/>
        </w:rPr>
        <w:t>к постановлению Правительства Новосибирской области</w:t>
      </w:r>
    </w:p>
    <w:p w:rsidR="005377CC" w:rsidRPr="00091C5D" w:rsidRDefault="005377CC" w:rsidP="005377C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377CC" w:rsidRPr="00091C5D" w:rsidRDefault="005377CC" w:rsidP="005377C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5377CC" w:rsidRPr="00091C5D" w:rsidRDefault="005377CC" w:rsidP="005377CC">
      <w:pPr>
        <w:tabs>
          <w:tab w:val="left" w:pos="10490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091C5D">
        <w:rPr>
          <w:rFonts w:ascii="Times New Roman" w:hAnsi="Times New Roman"/>
          <w:sz w:val="28"/>
          <w:szCs w:val="28"/>
        </w:rPr>
        <w:t>«ПРИЛОЖЕНИЕ № 1</w:t>
      </w:r>
    </w:p>
    <w:p w:rsidR="005377CC" w:rsidRPr="00091C5D" w:rsidRDefault="005377CC" w:rsidP="005377CC">
      <w:pPr>
        <w:pStyle w:val="2"/>
        <w:tabs>
          <w:tab w:val="left" w:pos="10490"/>
        </w:tabs>
        <w:ind w:left="10490"/>
        <w:jc w:val="center"/>
        <w:rPr>
          <w:szCs w:val="28"/>
        </w:rPr>
      </w:pPr>
      <w:r w:rsidRPr="00091C5D">
        <w:rPr>
          <w:szCs w:val="28"/>
        </w:rPr>
        <w:t>к государственной программе Новосибирской области</w:t>
      </w:r>
    </w:p>
    <w:p w:rsidR="005377CC" w:rsidRPr="00091C5D" w:rsidRDefault="005377CC" w:rsidP="005377CC">
      <w:pPr>
        <w:pStyle w:val="2"/>
        <w:tabs>
          <w:tab w:val="left" w:pos="10490"/>
        </w:tabs>
        <w:ind w:left="10490"/>
        <w:jc w:val="center"/>
        <w:rPr>
          <w:szCs w:val="28"/>
        </w:rPr>
      </w:pPr>
      <w:r w:rsidRPr="00091C5D">
        <w:rPr>
          <w:szCs w:val="28"/>
        </w:rPr>
        <w:t>«Социальная поддержка в</w:t>
      </w:r>
    </w:p>
    <w:p w:rsidR="005377CC" w:rsidRPr="00091C5D" w:rsidRDefault="005377CC" w:rsidP="005377CC">
      <w:pPr>
        <w:pStyle w:val="2"/>
        <w:tabs>
          <w:tab w:val="left" w:pos="10490"/>
        </w:tabs>
        <w:ind w:left="10490"/>
        <w:jc w:val="center"/>
        <w:rPr>
          <w:szCs w:val="28"/>
        </w:rPr>
      </w:pPr>
      <w:r w:rsidRPr="00091C5D">
        <w:rPr>
          <w:szCs w:val="28"/>
        </w:rPr>
        <w:t>Новосибирской области»</w:t>
      </w:r>
    </w:p>
    <w:p w:rsidR="005377CC" w:rsidRPr="00091C5D" w:rsidRDefault="005377CC" w:rsidP="005377CC">
      <w:pPr>
        <w:pStyle w:val="2"/>
        <w:tabs>
          <w:tab w:val="left" w:pos="10490"/>
        </w:tabs>
        <w:ind w:left="10490"/>
        <w:jc w:val="center"/>
        <w:rPr>
          <w:szCs w:val="28"/>
        </w:rPr>
      </w:pPr>
    </w:p>
    <w:p w:rsidR="005377CC" w:rsidRPr="00091C5D" w:rsidRDefault="005377CC" w:rsidP="005377CC">
      <w:pPr>
        <w:pStyle w:val="2"/>
        <w:tabs>
          <w:tab w:val="left" w:pos="10490"/>
        </w:tabs>
        <w:ind w:left="10490"/>
        <w:jc w:val="center"/>
        <w:rPr>
          <w:szCs w:val="28"/>
        </w:rPr>
      </w:pPr>
    </w:p>
    <w:p w:rsidR="005377CC" w:rsidRPr="00091C5D" w:rsidRDefault="005377CC" w:rsidP="005377CC">
      <w:pPr>
        <w:pStyle w:val="2"/>
        <w:jc w:val="center"/>
        <w:rPr>
          <w:b/>
          <w:szCs w:val="28"/>
        </w:rPr>
      </w:pPr>
      <w:r w:rsidRPr="00091C5D">
        <w:rPr>
          <w:b/>
          <w:szCs w:val="28"/>
        </w:rPr>
        <w:t>ЦЕЛИ, ЗАДАЧИ И ЦЕЛЕВЫЕ ИНДИКАТОРЫ</w:t>
      </w:r>
    </w:p>
    <w:p w:rsidR="005377CC" w:rsidRPr="00091C5D" w:rsidRDefault="005377CC" w:rsidP="005377CC">
      <w:pPr>
        <w:pStyle w:val="2"/>
        <w:jc w:val="center"/>
        <w:rPr>
          <w:b/>
          <w:szCs w:val="28"/>
        </w:rPr>
      </w:pPr>
      <w:r w:rsidRPr="00091C5D">
        <w:rPr>
          <w:b/>
          <w:szCs w:val="28"/>
        </w:rPr>
        <w:t>государственной программы Новосибирской области</w:t>
      </w:r>
    </w:p>
    <w:p w:rsidR="005377CC" w:rsidRPr="00091C5D" w:rsidRDefault="005377CC" w:rsidP="005377CC">
      <w:pPr>
        <w:pStyle w:val="2"/>
        <w:jc w:val="center"/>
        <w:rPr>
          <w:b/>
          <w:szCs w:val="28"/>
        </w:rPr>
      </w:pPr>
      <w:r w:rsidRPr="00091C5D">
        <w:rPr>
          <w:b/>
          <w:szCs w:val="28"/>
        </w:rPr>
        <w:t>«Социальная поддержка в Новосибирской области»</w:t>
      </w:r>
    </w:p>
    <w:p w:rsidR="005377CC" w:rsidRPr="00091C5D" w:rsidRDefault="005377CC" w:rsidP="005377CC">
      <w:pPr>
        <w:pStyle w:val="2"/>
        <w:jc w:val="center"/>
        <w:rPr>
          <w:szCs w:val="28"/>
        </w:rPr>
      </w:pPr>
    </w:p>
    <w:p w:rsidR="005377CC" w:rsidRPr="00091C5D" w:rsidRDefault="005377CC" w:rsidP="005377CC">
      <w:pPr>
        <w:pStyle w:val="2"/>
        <w:jc w:val="center"/>
        <w:rPr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4"/>
        <w:gridCol w:w="2435"/>
        <w:gridCol w:w="1417"/>
        <w:gridCol w:w="992"/>
        <w:gridCol w:w="993"/>
        <w:gridCol w:w="993"/>
        <w:gridCol w:w="993"/>
        <w:gridCol w:w="992"/>
        <w:gridCol w:w="990"/>
        <w:gridCol w:w="992"/>
        <w:gridCol w:w="992"/>
        <w:gridCol w:w="1562"/>
      </w:tblGrid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435" w:type="dxa"/>
            <w:vMerge w:val="restart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Наименование</w:t>
            </w:r>
          </w:p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целевого индикатора</w:t>
            </w:r>
          </w:p>
        </w:tc>
        <w:tc>
          <w:tcPr>
            <w:tcW w:w="1417" w:type="dxa"/>
            <w:vMerge w:val="restart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Единица</w:t>
            </w:r>
          </w:p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измерения</w:t>
            </w:r>
          </w:p>
        </w:tc>
        <w:tc>
          <w:tcPr>
            <w:tcW w:w="7936" w:type="dxa"/>
            <w:gridSpan w:val="8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1562" w:type="dxa"/>
            <w:vMerge w:val="restart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Примечание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7936" w:type="dxa"/>
            <w:gridSpan w:val="8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в том числе по годам</w:t>
            </w:r>
          </w:p>
        </w:tc>
        <w:tc>
          <w:tcPr>
            <w:tcW w:w="1562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  <w:vertAlign w:val="superscript"/>
              </w:rPr>
            </w:pPr>
            <w:r w:rsidRPr="00091C5D">
              <w:rPr>
                <w:sz w:val="24"/>
                <w:szCs w:val="24"/>
              </w:rPr>
              <w:t>2021</w:t>
            </w:r>
            <w:r w:rsidRPr="00091C5D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2025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2028</w:t>
            </w:r>
          </w:p>
        </w:tc>
        <w:tc>
          <w:tcPr>
            <w:tcW w:w="1562" w:type="dxa"/>
            <w:vMerge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  <w:lang w:val="en-US"/>
              </w:rPr>
            </w:pPr>
            <w:r w:rsidRPr="00091C5D">
              <w:rPr>
                <w:sz w:val="24"/>
                <w:szCs w:val="24"/>
              </w:rPr>
              <w:t>11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Цель государственной программы. Улучшение качества жизни получателей мер социальной поддержки, повышение доступности и </w:t>
            </w:r>
            <w:r w:rsidRPr="00091C5D">
              <w:rPr>
                <w:sz w:val="24"/>
                <w:szCs w:val="24"/>
              </w:rPr>
              <w:lastRenderedPageBreak/>
              <w:t>качества социального обслуживания населения Новосибирской области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 xml:space="preserve">1. Степень обеспеченности выплатами граждан, имеющих право на меры социальной поддержки, из числа обратившихся за предоставлением мер социальной </w:t>
            </w:r>
            <w:r w:rsidRPr="00091C5D">
              <w:rPr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2. Доля граждан, получивших социальные услуги в организациях социального обслуживания населения, в общем числе граждан, обратившихся за получением социальных услуг в организации социального обслуживания населения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3. 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32,0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34,0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37,0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4. Количество граждан, воспользовавшихся налоговой льготой по транспортному налогу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128 557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Задача 1 государственной программы. Создание благоприятных условий для улучшения положения детей и семей с детьми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trike/>
                <w:sz w:val="24"/>
                <w:szCs w:val="24"/>
              </w:rPr>
            </w:pPr>
            <w:r w:rsidRPr="00091C5D">
              <w:rPr>
                <w:strike/>
                <w:sz w:val="24"/>
                <w:szCs w:val="24"/>
              </w:rPr>
              <w:t>5. Суммарный коэффициент рождаемости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trike/>
                <w:sz w:val="24"/>
                <w:szCs w:val="24"/>
                <w:lang w:eastAsia="en-US"/>
              </w:rPr>
            </w:pPr>
            <w:r w:rsidRPr="00091C5D">
              <w:rPr>
                <w:strike/>
                <w:sz w:val="24"/>
                <w:szCs w:val="24"/>
                <w:lang w:eastAsia="en-US"/>
              </w:rPr>
              <w:t>Целевой индикатор утратил силу с 2022 года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5. Доля детей школьного возраста, ежегодно охваченных всеми видами отдыха и оздоровления, в общей численности детей школьного возраста Новосибирской области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35,8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45,06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45,15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45,24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45,33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45,42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45,51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ind w:left="-57" w:right="-57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6. Доля граждан, обеспеченных жилыми помещениями в соответствии с Федеральным законом от 21.12.1996 № 159-ФЗ «О дополнительных гарантиях по социальной поддержке детей-сирот и детей, оставшихся без попечения родителей», от общего числа лиц данной категории, нуждающихся в </w:t>
            </w:r>
            <w:r w:rsidRPr="00091C5D">
              <w:rPr>
                <w:sz w:val="24"/>
                <w:szCs w:val="24"/>
              </w:rPr>
              <w:lastRenderedPageBreak/>
              <w:t>жилых помещениях, право на обеспечение жилыми помещениями у которых уже возникло и не реализовано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Задача 2 государственной программы. Выполнение обязательств по социальной поддержке граждан, нуждающихся в особой защите государства, в том числе граждан пожилого возраста, инвалидов, малоимущих, а также граждан, находящихся в трудной жизненной ситуации</w:t>
            </w:r>
          </w:p>
        </w:tc>
        <w:tc>
          <w:tcPr>
            <w:tcW w:w="2435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7. Соотношение средней заработной платы социальных работников и средней заработной платы в Новосибирской области*</w:t>
            </w:r>
          </w:p>
        </w:tc>
        <w:tc>
          <w:tcPr>
            <w:tcW w:w="1417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ConsPlusNormal"/>
              <w:rPr>
                <w:szCs w:val="24"/>
              </w:rPr>
            </w:pPr>
            <w:r w:rsidRPr="00091C5D">
              <w:rPr>
                <w:szCs w:val="24"/>
              </w:rPr>
              <w:t>8. Средняя численность получателей услуг на одного социального работника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3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3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0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10,5</w:t>
            </w:r>
          </w:p>
        </w:tc>
        <w:tc>
          <w:tcPr>
            <w:tcW w:w="1562" w:type="dxa"/>
            <w:shd w:val="clear" w:color="auto" w:fill="FFFFFF" w:themeFill="background1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15735" w:type="dxa"/>
            <w:gridSpan w:val="12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Подпрограмма 1. Семья и дети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bCs/>
                <w:iCs/>
                <w:sz w:val="24"/>
                <w:szCs w:val="24"/>
              </w:rPr>
              <w:t xml:space="preserve">Цель подпрограммы. </w:t>
            </w:r>
            <w:r w:rsidRPr="00091C5D">
              <w:rPr>
                <w:sz w:val="24"/>
                <w:szCs w:val="24"/>
              </w:rPr>
              <w:t xml:space="preserve">Улучшение качества жизни семей с детьми, детей, в том числе детей-инвалидов, детей-сирот и детей, оставшихся без </w:t>
            </w:r>
            <w:r w:rsidRPr="00091C5D">
              <w:rPr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rPr>
                <w:bCs/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Задача</w:t>
            </w:r>
            <w:r w:rsidRPr="00091C5D">
              <w:rPr>
                <w:bCs/>
                <w:sz w:val="24"/>
                <w:szCs w:val="24"/>
              </w:rPr>
              <w:t> 1 подпрограммы.</w:t>
            </w:r>
          </w:p>
          <w:p w:rsidR="005377CC" w:rsidRPr="00091C5D" w:rsidRDefault="005377CC" w:rsidP="00A54B56">
            <w:pPr>
              <w:pStyle w:val="ConsPlusNormal"/>
              <w:rPr>
                <w:szCs w:val="24"/>
              </w:rPr>
            </w:pPr>
            <w:r w:rsidRPr="00091C5D">
              <w:rPr>
                <w:bCs/>
                <w:iCs/>
                <w:szCs w:val="24"/>
              </w:rPr>
              <w:t>Развитие системы государственной поддержки семей с детьми, в том числе детей-инвалидов, детей-сирот и детей, оставшихся без попечения родителей, социального обслуживания и социального сопровождения детей и семей с детьми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9. Численность семей с 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3 940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3 910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3 880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3 850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3 820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3 790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3 760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3 730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10. Доля семей с детьми, испытывающих трудности в социальной адаптации,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7,82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7,76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7,64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7,58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7,52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11. Доля детей-инвалидов, получивших социальные и реабилитационные услуги, в общем количестве детей-инвалидов, проживающих в Новосибирской </w:t>
            </w:r>
            <w:r w:rsidRPr="00091C5D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87,3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87,35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87,4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87,45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87,5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87,55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87,65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12. Доля многодетных семей со среднедушевым доходом, не превышающим величину прожиточного минимума, установленного в Новосибирской области, получающих ежемесячную денежную выплату в случае рождения после 31.12.2012 третьего или последующих детей до 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13. Число семей с тремя и более детьми, которые в отчетном году получат ежемесячную денежную выплату в случае рождения третьего ребенка или </w:t>
            </w:r>
            <w:r w:rsidRPr="00091C5D">
              <w:rPr>
                <w:rFonts w:ascii="Times New Roman" w:hAnsi="Times New Roman"/>
                <w:sz w:val="24"/>
                <w:szCs w:val="24"/>
              </w:rPr>
              <w:lastRenderedPageBreak/>
              <w:t>последующих детей до достижения ребенком возраста 3 лет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получатель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17 500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18 000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18 250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18 500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18 500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18 500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18 500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18 500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14. Число детей в возрасте от 3 до 7 лет включительно, в отношении которых в отчетном году произведена ежемесячная выплата в целях повышения доходов семей с детьми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93 895 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91 454 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91 545 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91 545 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91 545 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91 545 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91 545 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91 545 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15. Доля детей в возрасте от 3 до 7 лет включительно, в отношении которых в отчетном году произведена ежемесячная выплата, в общей численности детей этого возраста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16. Доля детей-сирот и детей, оставшихся без попечения родителей, устроенных в семьи, в общей численности детей этой категории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92,41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92,42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92,42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92,43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17. Численность граждан, не обеспеченных </w:t>
            </w:r>
            <w:r w:rsidRPr="00091C5D">
              <w:rPr>
                <w:rFonts w:ascii="Times New Roman" w:hAnsi="Times New Roman"/>
                <w:sz w:val="24"/>
                <w:szCs w:val="24"/>
              </w:rPr>
              <w:lastRenderedPageBreak/>
              <w:t>жилыми помещениями в соответствии с Федеральным законом от 21.12.1996 № 159</w:t>
            </w:r>
            <w:r w:rsidRPr="00091C5D">
              <w:rPr>
                <w:rFonts w:ascii="Times New Roman" w:hAnsi="Times New Roman"/>
                <w:sz w:val="24"/>
                <w:szCs w:val="24"/>
              </w:rPr>
              <w:noBreakHyphen/>
              <w:t xml:space="preserve">ФЗ «О дополнительных гарантиях по социальной поддержке детей-сирот и детей, оставшихся без попечения родителей», на конец календарного года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5 600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5 500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5 400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5 300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5 200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5 100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4 900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18.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 w:rsidRPr="00091C5D">
              <w:rPr>
                <w:rFonts w:ascii="Times New Roman" w:hAnsi="Times New Roman"/>
                <w:spacing w:val="-6"/>
                <w:sz w:val="24"/>
                <w:szCs w:val="24"/>
              </w:rPr>
              <w:t>специализированного</w:t>
            </w:r>
            <w:r w:rsidRPr="00091C5D">
              <w:rPr>
                <w:rFonts w:ascii="Times New Roman" w:hAnsi="Times New Roman"/>
                <w:sz w:val="24"/>
                <w:szCs w:val="24"/>
              </w:rPr>
              <w:t xml:space="preserve"> жилищного фонда по договорам найма специализированных жилых помещений в </w:t>
            </w:r>
            <w:r w:rsidRPr="00091C5D">
              <w:rPr>
                <w:rFonts w:ascii="Times New Roman" w:hAnsi="Times New Roman"/>
                <w:sz w:val="24"/>
                <w:szCs w:val="24"/>
              </w:rPr>
              <w:lastRenderedPageBreak/>
              <w:t>отчетном году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19. 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</w:t>
            </w:r>
            <w:r w:rsidRPr="00091C5D">
              <w:rPr>
                <w:rFonts w:ascii="Times New Roman" w:hAnsi="Times New Roman"/>
                <w:spacing w:val="-6"/>
                <w:sz w:val="24"/>
                <w:szCs w:val="24"/>
              </w:rPr>
              <w:t>специализированного</w:t>
            </w:r>
            <w:r w:rsidRPr="00091C5D">
              <w:rPr>
                <w:rFonts w:ascii="Times New Roman" w:hAnsi="Times New Roman"/>
                <w:sz w:val="24"/>
                <w:szCs w:val="24"/>
              </w:rPr>
              <w:t xml:space="preserve"> жилищного фонда по договорам найма специализированных жилых помещений за счет средств субсидии из федерального бюджета бюджету Новосибирской области (нарастающим итогом)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1 758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1 958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2 158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2 358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2 558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2 758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2 958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3 158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20. Доля несовершеннолетних лиц, потребляющих наркотические средства или психотропные вещества без </w:t>
            </w:r>
            <w:r w:rsidRPr="00091C5D">
              <w:rPr>
                <w:sz w:val="24"/>
                <w:szCs w:val="24"/>
              </w:rPr>
              <w:lastRenderedPageBreak/>
              <w:t xml:space="preserve">назначения врача, а также страдающих алкогольной зависимостью, прошедших курс реабилитации и направленных на реабилитацию повторно, от общего количества </w:t>
            </w:r>
            <w:r w:rsidRPr="00091C5D">
              <w:rPr>
                <w:spacing w:val="-6"/>
                <w:sz w:val="24"/>
                <w:szCs w:val="24"/>
              </w:rPr>
              <w:t>несовершеннолетних,</w:t>
            </w:r>
            <w:r w:rsidRPr="00091C5D">
              <w:rPr>
                <w:sz w:val="24"/>
                <w:szCs w:val="24"/>
              </w:rPr>
              <w:t xml:space="preserve"> прошедших курс реабилитации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3,1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Задача 2 подпрограммы. Обеспечение потребности детей в отдыхе и оздоровлении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21. Доля оздоровленных детей, находящихся в трудной жизненной ситуации, от численности детей в возрасте 7–17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56,08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57,75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57,85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57,96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58,06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58,17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58,27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58,38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ind w:left="-57" w:right="-57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22. Доля организаций отдыха детей и их оздоровления, в которых проведены </w:t>
            </w:r>
            <w:r w:rsidRPr="00091C5D">
              <w:rPr>
                <w:sz w:val="24"/>
                <w:szCs w:val="24"/>
              </w:rPr>
              <w:lastRenderedPageBreak/>
              <w:t xml:space="preserve">работы по реконструкции, капитальному и текущему ремонту (ежегодно)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3,17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16,9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18,5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15735" w:type="dxa"/>
            <w:gridSpan w:val="12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Подпрограмма 2. Старшее поколение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</w:tcPr>
          <w:p w:rsidR="005377CC" w:rsidRPr="00091C5D" w:rsidRDefault="005377CC" w:rsidP="00A54B56">
            <w:pPr>
              <w:pStyle w:val="ConsPlusNormal"/>
              <w:rPr>
                <w:bCs/>
                <w:iCs/>
                <w:szCs w:val="24"/>
              </w:rPr>
            </w:pPr>
            <w:r w:rsidRPr="00091C5D">
              <w:rPr>
                <w:szCs w:val="24"/>
              </w:rPr>
              <w:t xml:space="preserve">Цель подпрограммы. </w:t>
            </w:r>
            <w:r w:rsidRPr="00091C5D">
              <w:rPr>
                <w:bCs/>
                <w:szCs w:val="24"/>
              </w:rPr>
              <w:t>Формирование условий для реализации мероприятий, направленных на укрепление социальной защищенности граждан пожилого возраста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ConsPlusNormal"/>
              <w:jc w:val="both"/>
              <w:rPr>
                <w:bCs/>
                <w:iCs/>
                <w:szCs w:val="24"/>
              </w:rPr>
            </w:pPr>
            <w:r w:rsidRPr="00091C5D">
              <w:rPr>
                <w:bCs/>
                <w:iCs/>
                <w:szCs w:val="24"/>
              </w:rPr>
              <w:t>Задача подпрограммы.</w:t>
            </w:r>
          </w:p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bCs/>
                <w:sz w:val="24"/>
                <w:szCs w:val="24"/>
              </w:rPr>
              <w:t>Выполнение обязательств по социальной поддержке граждан пожилого возраста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23. Количество граждан пожилого возраста, вовлеченных в мероприятия по поддержанию их социальной активности и адаптации (ежегодно)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38 730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ConsPlusNormal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24. Количество граждан пожилого возраста, вовлеченных в мероприятия по поддержанию их социальной </w:t>
            </w:r>
            <w:r w:rsidRPr="00091C5D">
              <w:rPr>
                <w:sz w:val="24"/>
                <w:szCs w:val="24"/>
              </w:rPr>
              <w:lastRenderedPageBreak/>
              <w:t>активности и адаптации (нарастающим итогом)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336 616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375 346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414 076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452 806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491 536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530 266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568 996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ConsPlusNormal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25. Доля граждан пожилого возраста и инвалидов, обслуживаемых на дому, в общей численности граждан, состоящих на учете на получение надомного обслуживания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ConsPlusNormal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26. 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5,8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9,2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50,0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80,0</w:t>
            </w:r>
          </w:p>
        </w:tc>
        <w:tc>
          <w:tcPr>
            <w:tcW w:w="1562" w:type="dxa"/>
            <w:vMerge w:val="restart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РП. Значения показателя на период 2022–2024 годов указаны в соответствии с паспортом регионального проекта «Старшее поколение»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ConsPlusNormal"/>
              <w:jc w:val="both"/>
              <w:rPr>
                <w:bCs/>
                <w:iCs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27. Доля граждан старше </w:t>
            </w:r>
            <w:r w:rsidRPr="00091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12,8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13,3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13,8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14,3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14,8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15,3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15,8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16,3</w:t>
            </w:r>
          </w:p>
        </w:tc>
        <w:tc>
          <w:tcPr>
            <w:tcW w:w="1562" w:type="dxa"/>
            <w:vMerge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15735" w:type="dxa"/>
            <w:gridSpan w:val="12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Подпрограмма 3. Доступная среда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Цель подпрограммы. Повышение уровня обеспеченности инвалидов равными правами и возможностями с другими гражданами, а также толерантного отношения к ним в обществе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28. 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53,0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53,5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54,5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55,0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56,5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Задача 1 подпрограммы.</w:t>
            </w:r>
          </w:p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</w:t>
            </w:r>
            <w:r w:rsidRPr="00091C5D">
              <w:rPr>
                <w:sz w:val="24"/>
                <w:szCs w:val="24"/>
              </w:rPr>
              <w:lastRenderedPageBreak/>
              <w:t>приоритетным для них услугам, в том числе оборудование (дооборудование) приоритетных объектов элементами доступности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 xml:space="preserve">29. Доля доступных для инвалидов и других маломобильных групп населения приоритетных объектов социальной, транспортной, инженерной </w:t>
            </w:r>
            <w:r w:rsidRPr="00091C5D">
              <w:rPr>
                <w:sz w:val="24"/>
                <w:szCs w:val="24"/>
              </w:rPr>
              <w:lastRenderedPageBreak/>
              <w:t>инфраструктуры в общем количестве приоритетных объектов Новосибирской области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67,8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67,8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67,8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73,4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75,3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77,2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79,1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Начиная с 01.01.2022 количество приоритет-ных объектов социальной, транспорт-ной, инженерной </w:t>
            </w:r>
            <w:r w:rsidRPr="00091C5D">
              <w:rPr>
                <w:sz w:val="24"/>
                <w:szCs w:val="24"/>
              </w:rPr>
              <w:lastRenderedPageBreak/>
              <w:t>инфраструк-туры, включенных в реестр, – 1 038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30. Доля приоритетных объектов, доступных для инвалидов и других маломобильных групп населения, в общем количестве приоритетных объектов в сфере социальной защиты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97,3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100,0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Начиная с 01.01.2022 количество приоритет-ных объектов в сфере социальной защиты, включенных в реестр, – 185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Задача 2 подпрограммы. Формирование условий для развития системы комплексной реабилитации инвалидов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31. Доля инвалидов, получивших услуги по комплексной реабилитации инвалидов, имеющих нарушения опорно-двигательного аппарата, в специализированных центрах, учреждениях, организациях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78,8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79,8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80,4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80,7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81,2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81,4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81,8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82,2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15735" w:type="dxa"/>
            <w:gridSpan w:val="12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Подпрограмма 4. Адресная поддержка отдельных категорий граждан</w:t>
            </w: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 xml:space="preserve">Цель подпрограммы. Улучшение социального </w:t>
            </w:r>
            <w:r w:rsidRPr="00091C5D">
              <w:rPr>
                <w:sz w:val="24"/>
                <w:szCs w:val="24"/>
              </w:rPr>
              <w:lastRenderedPageBreak/>
              <w:t>положения отдельных категорий граждан, в том числе малоимущих, граждан, находящихся в трудной жизненной ситуации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 w:val="restart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Задача подпрограммы. Обеспечение мер социальной поддержки отдельных категорий граждан с приоритетом адресности</w:t>
            </w: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32. Объем просроченной задолженности по предоставлению социальных выплат отдельным категориям граждан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33. Количество оказанной адресной социальной помощи малоимущим гражданам и гражданам, оказавшимся в трудной жизненной ситуации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ind w:left="-57" w:right="-57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выплата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15 275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14 187</w:t>
            </w:r>
          </w:p>
        </w:tc>
        <w:tc>
          <w:tcPr>
            <w:tcW w:w="993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13 631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13 431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13 431</w:t>
            </w:r>
          </w:p>
        </w:tc>
        <w:tc>
          <w:tcPr>
            <w:tcW w:w="990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13 431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13 431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13 431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34. Доля граждан, охваченных государственной социальной помощью на основании социального контракта, в общей численности </w:t>
            </w:r>
            <w:r w:rsidRPr="00091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малоимущих граждан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5,1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35. 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  <w:tr w:rsidR="005377CC" w:rsidRPr="00091C5D" w:rsidTr="00A54B56">
        <w:trPr>
          <w:trHeight w:val="20"/>
        </w:trPr>
        <w:tc>
          <w:tcPr>
            <w:tcW w:w="2385" w:type="dxa"/>
            <w:vMerge/>
          </w:tcPr>
          <w:p w:rsidR="005377CC" w:rsidRPr="00091C5D" w:rsidRDefault="005377CC" w:rsidP="00A54B56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2435" w:type="dxa"/>
          </w:tcPr>
          <w:p w:rsidR="005377CC" w:rsidRPr="00091C5D" w:rsidRDefault="005377CC" w:rsidP="00A54B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 xml:space="preserve">36. 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субъекте Российской Федерации,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 </w:t>
            </w:r>
          </w:p>
        </w:tc>
        <w:tc>
          <w:tcPr>
            <w:tcW w:w="1417" w:type="dxa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shd w:val="clear" w:color="auto" w:fill="FFFFFF"/>
          </w:tcPr>
          <w:p w:rsidR="005377CC" w:rsidRPr="00091C5D" w:rsidRDefault="005377CC" w:rsidP="00A54B56">
            <w:pPr>
              <w:pStyle w:val="2"/>
              <w:jc w:val="center"/>
              <w:rPr>
                <w:sz w:val="24"/>
                <w:szCs w:val="24"/>
              </w:rPr>
            </w:pPr>
            <w:r w:rsidRPr="00091C5D">
              <w:rPr>
                <w:sz w:val="24"/>
                <w:szCs w:val="24"/>
              </w:rPr>
              <w:t>15,9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0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5377CC" w:rsidRPr="00091C5D" w:rsidRDefault="005377CC" w:rsidP="00A5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1C5D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562" w:type="dxa"/>
          </w:tcPr>
          <w:p w:rsidR="005377CC" w:rsidRPr="00091C5D" w:rsidRDefault="005377CC" w:rsidP="00A54B56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5377CC" w:rsidRPr="00091C5D" w:rsidRDefault="005377CC" w:rsidP="005377CC">
      <w:pPr>
        <w:pStyle w:val="2"/>
        <w:rPr>
          <w:szCs w:val="28"/>
        </w:rPr>
      </w:pPr>
    </w:p>
    <w:p w:rsidR="005377CC" w:rsidRPr="00091C5D" w:rsidRDefault="005377CC" w:rsidP="005377CC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 w:rsidRPr="00091C5D">
        <w:rPr>
          <w:rFonts w:ascii="Times New Roman" w:hAnsi="Times New Roman"/>
          <w:sz w:val="28"/>
          <w:szCs w:val="28"/>
          <w:vertAlign w:val="superscript"/>
        </w:rPr>
        <w:t>1</w:t>
      </w:r>
      <w:r w:rsidRPr="00091C5D">
        <w:rPr>
          <w:rFonts w:ascii="Times New Roman" w:hAnsi="Times New Roman"/>
          <w:sz w:val="28"/>
          <w:szCs w:val="28"/>
        </w:rPr>
        <w:t xml:space="preserve"> – приводится оценочное значение целевого индикатора до начала реализации государственной программы.</w:t>
      </w:r>
    </w:p>
    <w:p w:rsidR="005377CC" w:rsidRPr="00091C5D" w:rsidRDefault="005377CC" w:rsidP="005377CC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5D">
        <w:rPr>
          <w:rFonts w:ascii="Times New Roman" w:hAnsi="Times New Roman"/>
          <w:sz w:val="28"/>
          <w:szCs w:val="28"/>
        </w:rPr>
        <w:lastRenderedPageBreak/>
        <w:t>*Начиная с итогов 2015 года в качестве средней заработной платы в Новосибирской области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11.07.2015 № 698 «Об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деятельности».</w:t>
      </w:r>
    </w:p>
    <w:p w:rsidR="005377CC" w:rsidRPr="00091C5D" w:rsidRDefault="005377CC" w:rsidP="005377CC">
      <w:pPr>
        <w:pStyle w:val="2"/>
        <w:rPr>
          <w:szCs w:val="28"/>
        </w:rPr>
      </w:pPr>
      <w:r w:rsidRPr="00091C5D">
        <w:rPr>
          <w:szCs w:val="28"/>
        </w:rPr>
        <w:t>Применяемое сокращение:</w:t>
      </w:r>
    </w:p>
    <w:p w:rsidR="005377CC" w:rsidRPr="00091C5D" w:rsidRDefault="005377CC" w:rsidP="00537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C5D">
        <w:rPr>
          <w:rFonts w:ascii="Times New Roman" w:hAnsi="Times New Roman"/>
          <w:sz w:val="28"/>
          <w:szCs w:val="28"/>
        </w:rPr>
        <w:t>РП – региональный проект.</w:t>
      </w:r>
    </w:p>
    <w:p w:rsidR="005377CC" w:rsidRPr="00091C5D" w:rsidRDefault="005377CC" w:rsidP="005377CC">
      <w:pPr>
        <w:pStyle w:val="2"/>
        <w:rPr>
          <w:szCs w:val="28"/>
        </w:rPr>
      </w:pPr>
    </w:p>
    <w:p w:rsidR="005377CC" w:rsidRPr="00091C5D" w:rsidRDefault="005377CC" w:rsidP="005377CC">
      <w:pPr>
        <w:pStyle w:val="2"/>
        <w:rPr>
          <w:szCs w:val="28"/>
        </w:rPr>
      </w:pPr>
    </w:p>
    <w:p w:rsidR="005377CC" w:rsidRPr="00091C5D" w:rsidRDefault="005377CC" w:rsidP="005377CC">
      <w:pPr>
        <w:pStyle w:val="2"/>
        <w:rPr>
          <w:szCs w:val="28"/>
        </w:rPr>
      </w:pPr>
    </w:p>
    <w:p w:rsidR="005377CC" w:rsidRPr="00286473" w:rsidRDefault="005377CC" w:rsidP="005377CC">
      <w:pPr>
        <w:pStyle w:val="2"/>
        <w:jc w:val="center"/>
        <w:rPr>
          <w:szCs w:val="28"/>
        </w:rPr>
      </w:pPr>
      <w:r w:rsidRPr="00091C5D">
        <w:rPr>
          <w:szCs w:val="28"/>
        </w:rPr>
        <w:t>_________».</w:t>
      </w:r>
    </w:p>
    <w:p w:rsidR="002242EC" w:rsidRDefault="002242EC">
      <w:bookmarkStart w:id="0" w:name="_GoBack"/>
      <w:bookmarkEnd w:id="0"/>
    </w:p>
    <w:sectPr w:rsidR="002242EC" w:rsidSect="00260DB2">
      <w:headerReference w:type="default" r:id="rId5"/>
      <w:endnotePr>
        <w:numFmt w:val="decimal"/>
      </w:endnotePr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2F" w:rsidRPr="005B1705" w:rsidRDefault="005377CC" w:rsidP="00260DB2">
    <w:pPr>
      <w:pStyle w:val="a3"/>
      <w:ind w:firstLine="0"/>
      <w:jc w:val="center"/>
      <w:rPr>
        <w:sz w:val="20"/>
      </w:rPr>
    </w:pPr>
    <w:r w:rsidRPr="005B1705">
      <w:rPr>
        <w:sz w:val="20"/>
      </w:rPr>
      <w:fldChar w:fldCharType="begin"/>
    </w:r>
    <w:r w:rsidRPr="005B1705">
      <w:rPr>
        <w:sz w:val="20"/>
      </w:rPr>
      <w:instrText>PAGE   \* MERGEFORMAT</w:instrText>
    </w:r>
    <w:r w:rsidRPr="005B1705">
      <w:rPr>
        <w:sz w:val="20"/>
      </w:rPr>
      <w:fldChar w:fldCharType="separate"/>
    </w:r>
    <w:r>
      <w:rPr>
        <w:noProof/>
        <w:sz w:val="20"/>
      </w:rPr>
      <w:t>2</w:t>
    </w:r>
    <w:r w:rsidRPr="005B1705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42"/>
    <w:rsid w:val="002242EC"/>
    <w:rsid w:val="005377CC"/>
    <w:rsid w:val="00F9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5377CC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5377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5377C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5377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37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endnote text"/>
    <w:basedOn w:val="a"/>
    <w:link w:val="a6"/>
    <w:uiPriority w:val="99"/>
    <w:rsid w:val="005377C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5377CC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5377CC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5377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rsid w:val="005377C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5377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37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endnote text"/>
    <w:basedOn w:val="a"/>
    <w:link w:val="a6"/>
    <w:uiPriority w:val="99"/>
    <w:rsid w:val="005377C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5377CC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1940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 Дарья Юрьевна</dc:creator>
  <cp:keywords/>
  <dc:description/>
  <cp:lastModifiedBy>Корнева Дарья Юрьевна</cp:lastModifiedBy>
  <cp:revision>2</cp:revision>
  <dcterms:created xsi:type="dcterms:W3CDTF">2022-05-12T08:41:00Z</dcterms:created>
  <dcterms:modified xsi:type="dcterms:W3CDTF">2022-05-12T08:41:00Z</dcterms:modified>
</cp:coreProperties>
</file>