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29" w:type="dxa"/>
        <w:tblLayout w:type="fixed"/>
        <w:tblLook w:val="00A0" w:firstRow="1" w:lastRow="0" w:firstColumn="1" w:lastColumn="0" w:noHBand="0" w:noVBand="0"/>
      </w:tblPr>
      <w:tblGrid>
        <w:gridCol w:w="1356"/>
        <w:gridCol w:w="6832"/>
        <w:gridCol w:w="540"/>
        <w:gridCol w:w="1260"/>
        <w:gridCol w:w="41"/>
      </w:tblGrid>
      <w:tr>
        <w:tblPrEx/>
        <w:trPr>
          <w:trHeight w:val="2698"/>
        </w:trPr>
        <w:tc>
          <w:tcPr>
            <w:gridSpan w:val="5"/>
            <w:tcW w:w="100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8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47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03"/>
        <w:jc w:val="left"/>
      </w:pPr>
      <w:r/>
      <w:r/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Об определении числа рабочих мест для трудоустройства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граждан, особо нуждающихся в социальной защите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7 части 1 статьи 10 Федерального 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12.12.2023 № 565-ФЗ «О занятости населения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пунктом 6.1 статьи 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 Новосибирской области от 10.12.2012 № 279-ОЗ «О разграничении полномочий органов государственной власти Новосибирской области в сфере занятости населения»,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  <w:suppressLineNumbers w:val="0"/>
      </w:pPr>
      <w:r>
        <w:rPr>
          <w:rFonts w:ascii="Times New Roman" w:hAnsi="Times New Roman"/>
          <w:b/>
          <w:sz w:val="28"/>
          <w:szCs w:val="28"/>
        </w:rPr>
        <w:t xml:space="preserve">ПРИКАЗЫВАЮ:</w:t>
      </w: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851" w:leader="none"/>
          <w:tab w:val="left" w:pos="1134" w:leader="none"/>
          <w:tab w:val="clear" w:pos="128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Определить категории граждан, особо нуждающихся в социальной защите, в отношении которых осуществляется резервирование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рабочих мест для трудоустройства (далее – резервирование рабочих мест)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соответствии с настоящим приказом, согласно приложению № 1 к настоящему приказу.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851" w:leader="none"/>
          <w:tab w:val="left" w:pos="1134" w:leader="none"/>
          <w:tab w:val="clear" w:pos="12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Определить для каждого предприятия, учреждения, организации, расположенных на территории Новосибирской области, среднесписочная численность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ботников которых на конец IV квартала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предыдущего года составляет более 250 человек, число рабочих мест, резервируемых для трудоустройства граждан, особо нуждающихся в социальной защите, в размере 1% от среднесписочной численности работников.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851" w:leader="none"/>
          <w:tab w:val="left" w:pos="1134" w:leader="none"/>
          <w:tab w:val="clear" w:pos="128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Установить порядок резервирования рабочих мест для трудоустройства граждан, особо нуждающихся в социальной защите, согласно приложению № 2 к настоящему приказу.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567"/>
        <w:jc w:val="both"/>
        <w:spacing w:after="0" w:line="240" w:lineRule="auto"/>
        <w:tabs>
          <w:tab w:val="left" w:pos="284" w:leader="none"/>
          <w:tab w:val="num" w:pos="709" w:leader="none"/>
          <w:tab w:val="left" w:pos="851" w:leader="none"/>
          <w:tab w:val="left" w:pos="1080" w:leader="none"/>
          <w:tab w:val="left" w:pos="1260" w:leader="none"/>
          <w:tab w:val="clear" w:pos="128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заместителя министра труда и социального развития Новосибирской области Машанова В.А.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first" r:id="rId16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color w:val="000000"/>
          <w:sz w:val="28"/>
          <w:szCs w:val="28"/>
        </w:rPr>
        <w:t xml:space="preserve">Министр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Е.В. Бахарева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ind w:left="5954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</w:p>
    <w:p>
      <w:pPr>
        <w:ind w:left="5954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к приказу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министерства труда 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социального развития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 _________ № 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категорий граждан, особо нуждающихся в социальной защите, в отношении которых осуществляется резервирование рабочих мест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 Граждане, испытывающие трудности в поиске работы, категории которых определены подпунктом 4 пункта 1 статьи 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12.12.2023 № 565-ФЗ «О занятости населения в Российской Федерации»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за исключением: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 инвалидов;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 несовершеннолетних граждан в возрасте от 14 до 18 лет.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shd w:val="nil" w:color="000000"/>
        <w:tabs>
          <w:tab w:val="right" w:pos="992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Херсонской области с 30.09.2022, уволенные с военной службы (службы, работы).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afterAutospacing="0" w:line="240" w:lineRule="auto"/>
        <w:shd w:val="nil" w:color="000000"/>
        <w:tabs>
          <w:tab w:val="right" w:pos="9922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 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ики, воинских формирований и органов Донецкой Народной Республики и Луганской Народной Республики начиная с 11.04.2014.</w:t>
      </w:r>
      <w:r/>
    </w:p>
    <w:p>
      <w:pPr>
        <w:ind w:firstLine="720"/>
        <w:jc w:val="both"/>
        <w:spacing w:after="0" w:afterAutospacing="0" w:line="240" w:lineRule="auto"/>
        <w:shd w:val="nil" w:color="000000"/>
        <w:tabs>
          <w:tab w:val="right" w:pos="9922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 Члены семей лиц, указанных в пунктах 2-3 настоящего приложения, погибших (умерших) при выполнении задач в ходе специальной военной операции (боевых действий), члены семей лиц,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указанных в пунктах 2-3 настоящего приложения,</w:t>
      </w:r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умерших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специальной военной операции (боевых действий).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</w:p>
    <w:p>
      <w:pPr>
        <w:ind w:left="5954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</w:r>
    </w:p>
    <w:p>
      <w:pPr>
        <w:ind w:left="5954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к приказу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министерства труда 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социального развития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954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от _________ № 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резервирования рабочих мест для трудоустройства граждан, особо нуждающихся в социальной защите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ударственные казенные учреждения Новосибирской области центры занятости населения (далее – центры занятости населения) ежегодно до 15 января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размещения информации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Интерактивном портале службы занятости населения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 (адрес в сети Интернет http://nszn.nso.ru)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информируют работодателей, среднесписочная численность работников которых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конец IV квартала предыдущего года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составляла более 250 человек, о необходимости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резервирования рабочих мест для трудоустройства граждан, особо нуждающихся в социальной защите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Резервирование рабочих мест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трудоустройства граждан, особо нуждающихся в социальной защите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осуществляют работодатели,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среднесписочная численность работников которых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конец IV квартала предыдущего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составляла более 250 человек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Количество резервированных рабочих мест определяется, исходя из среднесписочной численности работников без учета работников филиалов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представительств работодателя, расположенных в других субъектах Российской Федерац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3. Работодатели самостоятельно рассчитывают количество рабочих мест, подлежащих резервированию в течение года, для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трудоустройства граждан, особо нуждающихся в социальной защите, исходя из 1% от среднесписочной численности работников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конец IV квартала предыдущего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расчете числа рабочих мест для резервирования округление дробного числа производится в сторону уменьшения до целого значения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4. Работодатели обязаны принимать локальные нормативные акты, содержащие сведения о резервировании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рабочих мест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трудоустройства гр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аждан, особо нуждающихся в социальной защите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 Количество резервированных рабочих мест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трудоустройства граждан, особо нуждающихся в социальной защите, может изменяться в случае уменьшения у работодателей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численности работников.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6. Граждане, претендующие на замещение резервированных рабочих мест, предоставляют документы, подтверждающие их отнесение к одной из категорий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особо нуждающихся в социальной защите лиц,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перечень которых утвержден приказом министерства труда и социального развития Новосибирской области (далее – министерство)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sectPr>
          <w:headerReference w:type="default" r:id="rId11"/>
          <w:headerReference w:type="first" r:id="rId12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7. 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Работодатель имеет право принимать на работу на резервированные рабочие     места     граждан,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особо     нуждающихся     в     социальной   защите,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06"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ectPr>
          <w:headerReference w:type="first" r:id="rId13"/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непосредственно  обратившихся  к  нему,  на  равных  основаниях  с   гражданами,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906"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особо нуждающихся в социальной защите,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имеющими направление центров занятости населения.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8. Выполнением обязанности по резервированию рабочих мест для граждан, особо нуждающихся в социальной защите, считается трудоустройство работодателем граждан из числа лиц, перечень категорий которых утвержден приказом 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9. Освобождаются от резервирования рабочих мест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для граждан, особо нуждающихся в социальной защите: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1) работодатели, находящиеся в стадии ликвидации или банкротства;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2) работодатели на период простоя (временной приостановки работы по причинам экономического, технологического, технического или организационного характера);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3) работодатели, осуществляющие деятельность на территории Новосибирской области, на период введения режима повышенной готовности или режима чрезвычайной ситуации.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10. Работодатели, осуществляющие резервирование рабочих мест для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граждан, особо нуждающихся в социальной защите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ежеквартально до 10 числа месяца, следующего за отчетным кварталом, предоставляют в центр занятости населения по месту нахождения информацию о трудоустройстве граждан на резервированные рабочие места в соответствии с формой, согласно приложению  к настоящему Порядку.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Информация предоставляется работодателями в электронной форме путем ее направления на официальную электронную почту центра занятости населения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11. Центры занятости населения обеспечивают сбор и формирование статистической отчетности на основе поступающей информации об осуществлении резервирования рабочих мест работодателями Новосибирской области и предоставляют обобщенную информацию в управление занятости населения министерства ежеквартально до 15 числа месяца, следующего за отчетным кварталом.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6"/>
        <w:ind w:firstLine="720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6"/>
        <w:ind w:left="4961" w:right="0" w:firstLine="0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  <w:sectPr>
          <w:headerReference w:type="first" r:id="rId14"/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6"/>
        <w:ind w:left="4961" w:right="0" w:firstLine="0"/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961" w:right="0" w:firstLine="0"/>
        <w:jc w:val="center"/>
        <w:spacing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Порядку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резервирования рабочих мест для трудоустройства граждан, особо нуждающихся в социальной защите</w:t>
      </w:r>
      <w:r>
        <w:rPr>
          <w:rFonts w:ascii="Times New Roman" w:hAnsi="Times New Roman"/>
          <w:sz w:val="28"/>
          <w:szCs w:val="28"/>
        </w:rPr>
      </w:r>
    </w:p>
    <w:p>
      <w:pPr>
        <w:pStyle w:val="90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0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ОТЧЕТ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white"/>
        </w:rPr>
        <w:t xml:space="preserve">об определении числа рабочих мест для трудоустройства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граждан, особо нуждающихся в социальной защите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tbl>
      <w:tblPr>
        <w:tblStyle w:val="894"/>
        <w:tblW w:w="0" w:type="auto"/>
        <w:tblLayout w:type="fixed"/>
        <w:tblLook w:val="04A0" w:firstRow="1" w:lastRow="0" w:firstColumn="1" w:lastColumn="0" w:noHBand="0" w:noVBand="1"/>
      </w:tblPr>
      <w:tblGrid>
        <w:gridCol w:w="8187"/>
        <w:gridCol w:w="1950"/>
      </w:tblGrid>
      <w:tr>
        <w:tblPrEx/>
        <w:trPr/>
        <w:tc>
          <w:tcPr>
            <w:tcW w:w="8187" w:type="dxa"/>
            <w:textDirection w:val="lrTb"/>
            <w:noWrap w:val="false"/>
          </w:tcPr>
          <w:p>
            <w:pPr>
              <w:pStyle w:val="906"/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Наименование работодателя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textDirection w:val="lrTb"/>
            <w:noWrap w:val="false"/>
          </w:tcPr>
          <w:p>
            <w:pPr>
              <w:pStyle w:val="906"/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ИНН работодателя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textDirection w:val="lrTb"/>
            <w:noWrap w:val="false"/>
          </w:tcPr>
          <w:p>
            <w:pPr>
              <w:pStyle w:val="906"/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Среднесписочная численность работников на конец IV квартала предыдущего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textDirection w:val="lrTb"/>
            <w:noWrap w:val="false"/>
          </w:tcPr>
          <w:p>
            <w:pPr>
              <w:pStyle w:val="906"/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Общее число зарезервированных рабочих мест для трудоустройства граждан, особо нуждающихся в социальной защите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textDirection w:val="lrTb"/>
            <w:noWrap w:val="false"/>
          </w:tcPr>
          <w:p>
            <w:pPr>
              <w:pStyle w:val="906"/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занятых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для трудоустройства граждан, особо нуждающихся в социальной защите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на которые трудоустроены: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vMerge w:val="restart"/>
            <w:textDirection w:val="lrTb"/>
            <w:noWrap w:val="false"/>
          </w:tcPr>
          <w:p>
            <w:pPr>
              <w:pStyle w:val="906"/>
              <w:ind w:left="567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Граждане, испытывающие трудности в поиске работы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в том числе: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textDirection w:val="lrTb"/>
            <w:noWrap w:val="false"/>
          </w:tcPr>
          <w:p>
            <w:pPr>
              <w:pStyle w:val="906"/>
              <w:ind w:left="992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лица, освобожденные из учреждений, исполняющих наказание в виде лишения свободы, и ищущие работу в течение одного года с даты освобождения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textDirection w:val="lrTb"/>
            <w:noWrap w:val="false"/>
          </w:tcPr>
          <w:p>
            <w:pPr>
              <w:pStyle w:val="906"/>
              <w:ind w:left="992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textDirection w:val="lrTb"/>
            <w:noWrap w:val="false"/>
          </w:tcPr>
          <w:p>
            <w:pPr>
              <w:pStyle w:val="906"/>
              <w:ind w:left="992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беженцы и вынужденные переселенцы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vMerge w:val="restart"/>
            <w:textDirection w:val="lrTb"/>
            <w:noWrap w:val="false"/>
          </w:tcPr>
          <w:p>
            <w:pPr>
              <w:pStyle w:val="906"/>
              <w:ind w:left="992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граждане, уволенные с военной службы, и члены их семей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vMerge w:val="restart"/>
            <w:textDirection w:val="lrTb"/>
            <w:noWrap w:val="false"/>
          </w:tcPr>
          <w:p>
            <w:pPr>
              <w:pStyle w:val="906"/>
              <w:ind w:left="992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одинокие и многодетные родители, усыновители, опекуны (попечители), воспитывающие несовершеннолетних детей,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vMerge w:val="restart"/>
            <w:textDirection w:val="lrTb"/>
            <w:noWrap w:val="false"/>
          </w:tcPr>
          <w:p>
            <w:pPr>
              <w:pStyle w:val="906"/>
              <w:ind w:left="992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граждане, подвергшиеся воздействию радиации вследствие радиационных аварий и катастроф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vMerge w:val="restart"/>
            <w:textDirection w:val="lrTb"/>
            <w:noWrap w:val="false"/>
          </w:tcPr>
          <w:p>
            <w:pPr>
              <w:pStyle w:val="906"/>
              <w:ind w:left="992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граждане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период военной службы по призыву – с даты окончания прохождения военной службы по призыву)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vMerge w:val="restart"/>
            <w:textDirection w:val="lrTb"/>
            <w:noWrap w:val="false"/>
          </w:tcPr>
          <w:p>
            <w:pPr>
              <w:ind w:left="567" w:right="0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Участники (ветераны) специальной военной операции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vMerge w:val="restart"/>
            <w:textDirection w:val="lrTb"/>
            <w:noWrap w:val="false"/>
          </w:tcPr>
          <w:p>
            <w:pPr>
              <w:ind w:left="567" w:right="0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Члены семей участников (ветеранов) специальной военной операции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vMerge w:val="restart"/>
            <w:textDirection w:val="lrTb"/>
            <w:noWrap w:val="false"/>
          </w:tcPr>
          <w:p>
            <w:pPr>
              <w:pStyle w:val="906"/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Количество заявленных работодателем вакансий на единой цифровой платформе в сфере занятости и трудовых отношений «Работа в России» на зарезервированные рабочие места для трудоустройства граждан, особо нуждающихся в социальной защите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187" w:type="dxa"/>
            <w:vMerge w:val="restart"/>
            <w:textDirection w:val="lrTb"/>
            <w:noWrap w:val="false"/>
          </w:tcPr>
          <w:p>
            <w:pPr>
              <w:pStyle w:val="906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Дата заполнения отчета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5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</w:rPr>
      </w:r>
    </w:p>
    <w:sectPr>
      <w:headerReference w:type="first" r:id="rId15"/>
      <w:footnotePr/>
      <w:endnotePr/>
      <w:type w:val="nextPage"/>
      <w:pgSz w:w="11906" w:h="16838" w:orient="portrait"/>
      <w:pgMar w:top="1134" w:right="567" w:bottom="1134" w:left="1417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013436"/>
      <w:docPartObj>
        <w:docPartGallery w:val="Page Numbers (Top of Page)"/>
        <w:docPartUnique w:val="true"/>
      </w:docPartObj>
      <w:rPr/>
    </w:sdtPr>
    <w:sdtContent>
      <w:p>
        <w:pPr>
          <w:pStyle w:val="891"/>
          <w:jc w:val="center"/>
          <w:rPr>
            <w:sz w:val="20"/>
          </w:rPr>
        </w:pPr>
        <w:r>
          <w:rPr>
            <w:sz w:val="22"/>
            <w:szCs w:val="22"/>
          </w:rPr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3</w:t>
        </w:r>
        <w:r>
          <w:rPr>
            <w:sz w:val="22"/>
            <w:szCs w:val="22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013436"/>
      <w:docPartObj>
        <w:docPartGallery w:val="Page Numbers (Top of Page)"/>
        <w:docPartUnique w:val="true"/>
      </w:docPartObj>
      <w:rPr/>
    </w:sdtPr>
    <w:sdtContent>
      <w:p>
        <w:r/>
        <w:r/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sz w:val="22"/>
        <w:szCs w:val="22"/>
      </w:rPr>
    </w:pPr>
    <w:r>
      <w:rPr>
        <w:sz w:val="22"/>
        <w:szCs w:val="22"/>
      </w:rPr>
      <w:t xml:space="preserve">2</w:t>
    </w:r>
    <w:r>
      <w:rPr>
        <w:sz w:val="22"/>
        <w:szCs w:val="22"/>
      </w:rPr>
    </w:r>
    <w:r>
      <w:rPr>
        <w:sz w:val="22"/>
        <w:szCs w:val="22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sz w:val="24"/>
        <w:szCs w:val="24"/>
      </w:rPr>
    </w:pPr>
    <w:r>
      <w:rPr>
        <w:sz w:val="24"/>
        <w:szCs w:val="24"/>
      </w:rPr>
      <w:t xml:space="preserve">2</w:t>
    </w:r>
    <w:r>
      <w:rPr>
        <w:sz w:val="24"/>
        <w:szCs w:val="24"/>
      </w:rPr>
    </w:r>
    <w:r>
      <w:rPr>
        <w:sz w:val="24"/>
        <w:szCs w:val="24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4472" w:hanging="360"/>
      </w:pPr>
      <w:rPr>
        <w:rFonts w:hint="default" w:ascii="Times New Roman" w:hAnsi="Times New Roman" w:cs="Times New Roman"/>
        <w:b w:val="0"/>
        <w:i w:val="0"/>
        <w:spacing w:val="-2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6" w:hanging="435"/>
        <w:tabs>
          <w:tab w:val="num" w:pos="128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700">
    <w:name w:val="Heading 1"/>
    <w:basedOn w:val="699"/>
    <w:next w:val="699"/>
    <w:link w:val="72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72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89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04">
    <w:name w:val="Heading 5"/>
    <w:basedOn w:val="699"/>
    <w:next w:val="699"/>
    <w:link w:val="73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3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6">
    <w:name w:val="Heading 7"/>
    <w:basedOn w:val="699"/>
    <w:next w:val="699"/>
    <w:link w:val="73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Title Char"/>
    <w:basedOn w:val="709"/>
    <w:uiPriority w:val="10"/>
    <w:rPr>
      <w:sz w:val="48"/>
      <w:szCs w:val="48"/>
    </w:rPr>
  </w:style>
  <w:style w:type="character" w:styleId="721" w:customStyle="1">
    <w:name w:val="Subtitle Char"/>
    <w:basedOn w:val="709"/>
    <w:uiPriority w:val="11"/>
    <w:rPr>
      <w:sz w:val="24"/>
      <w:szCs w:val="24"/>
    </w:rPr>
  </w:style>
  <w:style w:type="character" w:styleId="722" w:customStyle="1">
    <w:name w:val="Quote Char"/>
    <w:uiPriority w:val="29"/>
    <w:rPr>
      <w:i/>
    </w:rPr>
  </w:style>
  <w:style w:type="character" w:styleId="723" w:customStyle="1">
    <w:name w:val="Intense Quote Char"/>
    <w:uiPriority w:val="30"/>
    <w:rPr>
      <w:i/>
    </w:r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after="0" w:line="240" w:lineRule="auto"/>
    </w:pPr>
  </w:style>
  <w:style w:type="paragraph" w:styleId="736">
    <w:name w:val="Title"/>
    <w:basedOn w:val="699"/>
    <w:next w:val="699"/>
    <w:link w:val="737"/>
    <w:uiPriority w:val="10"/>
    <w:qFormat/>
    <w:pPr>
      <w:contextualSpacing/>
      <w:spacing w:before="300"/>
    </w:pPr>
    <w:rPr>
      <w:sz w:val="48"/>
      <w:szCs w:val="48"/>
    </w:rPr>
  </w:style>
  <w:style w:type="character" w:styleId="737" w:customStyle="1">
    <w:name w:val="Название Знак"/>
    <w:basedOn w:val="709"/>
    <w:link w:val="736"/>
    <w:uiPriority w:val="10"/>
    <w:rPr>
      <w:sz w:val="48"/>
      <w:szCs w:val="48"/>
    </w:rPr>
  </w:style>
  <w:style w:type="paragraph" w:styleId="738">
    <w:name w:val="Subtitle"/>
    <w:basedOn w:val="699"/>
    <w:next w:val="699"/>
    <w:link w:val="739"/>
    <w:uiPriority w:val="11"/>
    <w:qFormat/>
    <w:pPr>
      <w:spacing w:before="200"/>
    </w:pPr>
    <w:rPr>
      <w:sz w:val="24"/>
      <w:szCs w:val="24"/>
    </w:rPr>
  </w:style>
  <w:style w:type="character" w:styleId="739" w:customStyle="1">
    <w:name w:val="Подзаголовок Знак"/>
    <w:basedOn w:val="709"/>
    <w:link w:val="738"/>
    <w:uiPriority w:val="11"/>
    <w:rPr>
      <w:sz w:val="24"/>
      <w:szCs w:val="24"/>
    </w:rPr>
  </w:style>
  <w:style w:type="paragraph" w:styleId="740">
    <w:name w:val="Quote"/>
    <w:basedOn w:val="699"/>
    <w:next w:val="699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699"/>
    <w:next w:val="699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Header Char"/>
    <w:basedOn w:val="709"/>
    <w:uiPriority w:val="99"/>
  </w:style>
  <w:style w:type="character" w:styleId="745" w:customStyle="1">
    <w:name w:val="Footer Char"/>
    <w:basedOn w:val="709"/>
    <w:uiPriority w:val="99"/>
  </w:style>
  <w:style w:type="paragraph" w:styleId="746">
    <w:name w:val="Caption"/>
    <w:basedOn w:val="699"/>
    <w:next w:val="69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7" w:customStyle="1">
    <w:name w:val="Caption Char"/>
    <w:uiPriority w:val="99"/>
  </w:style>
  <w:style w:type="table" w:styleId="748" w:customStyle="1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7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8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9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0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1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2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9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1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2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3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4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0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2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4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5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8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9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0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1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2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3">
    <w:name w:val="footnote text"/>
    <w:basedOn w:val="699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basedOn w:val="709"/>
    <w:uiPriority w:val="99"/>
    <w:unhideWhenUsed/>
    <w:rPr>
      <w:vertAlign w:val="superscript"/>
    </w:rPr>
  </w:style>
  <w:style w:type="paragraph" w:styleId="876">
    <w:name w:val="endnote text"/>
    <w:basedOn w:val="699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709"/>
    <w:uiPriority w:val="99"/>
    <w:semiHidden/>
    <w:unhideWhenUsed/>
    <w:rPr>
      <w:vertAlign w:val="superscript"/>
    </w:rPr>
  </w:style>
  <w:style w:type="paragraph" w:styleId="879">
    <w:name w:val="toc 1"/>
    <w:basedOn w:val="699"/>
    <w:next w:val="699"/>
    <w:uiPriority w:val="39"/>
    <w:unhideWhenUsed/>
    <w:pPr>
      <w:spacing w:after="57"/>
    </w:pPr>
  </w:style>
  <w:style w:type="paragraph" w:styleId="880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81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82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3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4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5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6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7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699"/>
    <w:next w:val="699"/>
    <w:uiPriority w:val="99"/>
    <w:unhideWhenUsed/>
    <w:pPr>
      <w:spacing w:after="0"/>
    </w:pPr>
  </w:style>
  <w:style w:type="character" w:styleId="890" w:customStyle="1">
    <w:name w:val="Заголовок 4 Знак"/>
    <w:basedOn w:val="709"/>
    <w:link w:val="70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1">
    <w:name w:val="Header"/>
    <w:basedOn w:val="699"/>
    <w:link w:val="892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92" w:customStyle="1">
    <w:name w:val="Верхний колонтитул Знак"/>
    <w:basedOn w:val="709"/>
    <w:link w:val="89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893" w:customStyle="1">
    <w:name w:val="Сетка таблицы1"/>
    <w:basedOn w:val="710"/>
    <w:next w:val="89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5">
    <w:name w:val="Balloon Text"/>
    <w:basedOn w:val="699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709"/>
    <w:link w:val="89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7">
    <w:name w:val="List Paragraph"/>
    <w:basedOn w:val="699"/>
    <w:uiPriority w:val="34"/>
    <w:qFormat/>
    <w:pPr>
      <w:contextualSpacing/>
      <w:ind w:left="720"/>
    </w:pPr>
  </w:style>
  <w:style w:type="paragraph" w:styleId="89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699"/>
    <w:link w:val="90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900" w:customStyle="1">
    <w:name w:val="Основной текст Знак"/>
    <w:basedOn w:val="709"/>
    <w:link w:val="8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>
    <w:name w:val="Hyperlink"/>
    <w:uiPriority w:val="99"/>
    <w:unhideWhenUsed/>
    <w:rPr>
      <w:b w:val="0"/>
      <w:bCs w:val="0"/>
      <w:color w:val="292a24"/>
      <w:u w:val="single"/>
    </w:rPr>
  </w:style>
  <w:style w:type="paragraph" w:styleId="902">
    <w:name w:val="Body Text Indent"/>
    <w:basedOn w:val="699"/>
    <w:link w:val="903"/>
    <w:uiPriority w:val="99"/>
    <w:unhideWhenUsed/>
    <w:pPr>
      <w:ind w:left="283"/>
      <w:spacing w:after="120"/>
    </w:pPr>
  </w:style>
  <w:style w:type="character" w:styleId="903" w:customStyle="1">
    <w:name w:val="Основной текст с отступом Знак"/>
    <w:basedOn w:val="709"/>
    <w:link w:val="902"/>
    <w:uiPriority w:val="99"/>
    <w:rPr>
      <w:rFonts w:ascii="Calibri" w:hAnsi="Calibri" w:eastAsia="Times New Roman" w:cs="Times New Roman"/>
      <w:lang w:eastAsia="ru-RU"/>
    </w:rPr>
  </w:style>
  <w:style w:type="paragraph" w:styleId="904">
    <w:name w:val="Footer"/>
    <w:basedOn w:val="699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709"/>
    <w:link w:val="904"/>
    <w:uiPriority w:val="99"/>
    <w:rPr>
      <w:rFonts w:ascii="Calibri" w:hAnsi="Calibri" w:eastAsia="Times New Roman" w:cs="Times New Roman"/>
      <w:lang w:eastAsia="ru-RU"/>
    </w:rPr>
  </w:style>
  <w:style w:type="paragraph" w:styleId="90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07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customXml" Target="../customXml/item1.xml" /><Relationship Id="rId18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827D-CE1A-4578-932C-B1B53859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минтруд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Курнаева Зинаида Дмитриевна</dc:creator>
  <cp:revision>38</cp:revision>
  <dcterms:created xsi:type="dcterms:W3CDTF">2023-04-18T03:32:00Z</dcterms:created>
  <dcterms:modified xsi:type="dcterms:W3CDTF">2024-08-15T04:57:55Z</dcterms:modified>
</cp:coreProperties>
</file>