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ad"/>
        <w:spacing w:line="240" w:lineRule="auto"/>
        <w:ind w:left="5670"/>
        <w:jc w:val="center"/>
        <w:rPr>
          <w:rStyle w:val="ab"/>
          <w:sz w:val="28"/>
        </w:rPr>
      </w:pPr>
      <w:r>
        <w:rPr>
          <w:rStyle w:val="ab"/>
          <w:sz w:val="28"/>
        </w:rPr>
        <w:t xml:space="preserve">Приложение № 2</w:t>
      </w:r>
    </w:p>
    <w:p>
      <w:pPr>
        <w:spacing w:line="240" w:lineRule="auto"/>
        <w:ind w:left="5670"/>
        <w:jc w:val="center"/>
        <w:rPr>
          <w:sz w:val="28"/>
        </w:rPr>
      </w:pPr>
      <w:r>
        <w:rPr>
          <w:sz w:val="28"/>
        </w:rPr>
        <w:t xml:space="preserve">к приказу контрольного управления Новосибирской области</w:t>
      </w:r>
    </w:p>
    <w:p>
      <w:pPr>
        <w:spacing w:line="240" w:lineRule="auto"/>
        <w:ind w:left="5670"/>
        <w:jc w:val="center"/>
        <w:rPr>
          <w:sz w:val="28"/>
        </w:rPr>
      </w:pPr>
      <w:r>
        <w:rPr>
          <w:sz w:val="28"/>
        </w:rPr>
        <w:t xml:space="preserve">от «__» _________20__г. № ___</w:t>
      </w:r>
    </w:p>
    <w:p>
      <w:pPr>
        <w:spacing w:line="240" w:lineRule="auto"/>
        <w:rPr>
          <w:sz w:val="28"/>
        </w:rPr>
      </w:pPr>
    </w:p>
    <w:p>
      <w:pPr>
        <w:spacing w:line="240" w:lineRule="auto"/>
        <w:rPr>
          <w:sz w:val="28"/>
        </w:rPr>
      </w:pPr>
    </w:p>
    <w:p>
      <w:pPr>
        <w:pStyle w:val="aa"/>
        <w:rPr>
          <w:sz w:val="28"/>
        </w:rPr>
      </w:pPr>
      <w:r>
        <w:rPr>
          <w:sz w:val="28"/>
        </w:rPr>
        <w:t xml:space="preserve">ПРАВИЛА</w:t>
      </w:r>
    </w:p>
    <w:p>
      <w:pPr>
        <w:pStyle w:val="aa"/>
        <w:rPr>
          <w:sz w:val="28"/>
        </w:rPr>
      </w:pPr>
      <w:r>
        <w:rPr>
          <w:sz w:val="28"/>
        </w:rPr>
        <w:t xml:space="preserve">рассмотрения запросов субъектов персональных данных или их представителей в контрольном управлении Новосибирской области</w:t>
      </w:r>
    </w:p>
    <w:p>
      <w:pPr>
        <w:spacing w:line="240" w:lineRule="auto"/>
        <w:rPr>
          <w:sz w:val="28"/>
        </w:rPr>
      </w:pPr>
    </w:p>
    <w:p>
      <w:pPr>
        <w:spacing w:line="240" w:lineRule="auto"/>
        <w:contextualSpacing/>
        <w:jc w:val="center"/>
        <w:rPr>
          <w:b/>
          <w:bCs/>
          <w:sz w:val="28"/>
        </w:rPr>
      </w:pPr>
      <w:r>
        <w:rPr>
          <w:b/>
          <w:bCs/>
          <w:sz w:val="28"/>
        </w:rPr>
        <w:t xml:space="preserve">I.</w:t>
      </w:r>
      <w:r>
        <w:rPr>
          <w:b/>
          <w:bCs/>
          <w:sz w:val="28"/>
          <w:lang w:val="en-US"/>
        </w:rPr>
        <w:t xml:space="preserve"> </w:t>
      </w:r>
      <w:r>
        <w:rPr>
          <w:b/>
          <w:bCs/>
          <w:sz w:val="28"/>
        </w:rPr>
        <w:t xml:space="preserve">Общие положения</w:t>
      </w:r>
    </w:p>
    <w:p>
      <w:pPr>
        <w:spacing w:line="240" w:lineRule="auto"/>
        <w:rPr>
          <w:sz w:val="28"/>
        </w:rPr>
      </w:pPr>
    </w:p>
    <w:p>
      <w:pPr>
        <w:pStyle w:val="2"/>
        <w:numPr>
          <w:numId w:val="0"/>
          <w:ilvl w:val="0"/>
        </w:numPr>
        <w:ind w:firstLine="709"/>
        <w:rPr>
          <w:sz w:val="28"/>
        </w:rPr>
      </w:pPr>
      <w:r>
        <w:rPr>
          <w:sz w:val="28"/>
        </w:rPr>
        <w:t xml:space="preserve">1. Правила рассмотрения запросов субъектов персональных данных или их представителей (далее – Правила) разработаны в соответствии с Федеральным законом от 27.07.2006 № 152-ФЗ «О персональных данных»</w:t>
      </w:r>
      <w:r>
        <w:rPr>
          <w:sz w:val="28"/>
        </w:rPr>
        <w:t xml:space="preserve"> (далее – </w:t>
      </w:r>
      <w:r>
        <w:rPr>
          <w:sz w:val="28"/>
        </w:rPr>
        <w:t xml:space="preserve">Федеральный закон № 152-ФЗ</w:t>
      </w:r>
      <w:r>
        <w:rPr>
          <w:sz w:val="28"/>
        </w:rPr>
        <w:t xml:space="preserve">)</w:t>
      </w:r>
      <w:r>
        <w:rPr>
          <w:sz w:val="28"/>
        </w:rPr>
        <w:t xml:space="preserve">,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права субъектов персональных данных и обязанности контрольного управления Новосибирской области (далее – Управление) при обращении субъекта персональных данных или его представителя, а также сроки и порядок действий должностных лиц Управления при рассмотрении запросов субъектов персональных данных или их представителей.</w:t>
      </w:r>
    </w:p>
    <w:p>
      <w:pPr>
        <w:spacing w:line="240" w:lineRule="auto"/>
        <w:rPr>
          <w:sz w:val="28"/>
        </w:rPr>
      </w:pPr>
    </w:p>
    <w:p>
      <w:pPr>
        <w:spacing w:line="240" w:lineRule="auto"/>
        <w:contextualSpacing/>
        <w:jc w:val="center"/>
        <w:rPr>
          <w:b/>
          <w:bCs/>
          <w:sz w:val="28"/>
        </w:rPr>
      </w:pPr>
      <w:r>
        <w:rPr>
          <w:b/>
          <w:bCs/>
          <w:sz w:val="28"/>
          <w:lang w:val="en-US"/>
        </w:rPr>
        <w:t xml:space="preserve">II</w:t>
      </w:r>
      <w:r>
        <w:rPr>
          <w:b/>
          <w:bCs/>
          <w:sz w:val="28"/>
        </w:rPr>
        <w:t xml:space="preserve">. </w:t>
      </w:r>
      <w:r>
        <w:rPr>
          <w:b/>
          <w:bCs/>
          <w:sz w:val="28"/>
        </w:rPr>
        <w:t xml:space="preserve">Права субъектов персональных данных</w:t>
      </w:r>
    </w:p>
    <w:p>
      <w:pPr>
        <w:spacing w:line="240" w:lineRule="auto"/>
        <w:rPr>
          <w:sz w:val="28"/>
        </w:rPr>
      </w:pPr>
    </w:p>
    <w:p>
      <w:pPr>
        <w:pStyle w:val="2"/>
        <w:numPr>
          <w:numId w:val="0"/>
          <w:ilvl w:val="0"/>
        </w:numPr>
        <w:ind w:firstLine="709"/>
        <w:rPr>
          <w:sz w:val="28"/>
        </w:rPr>
      </w:pPr>
      <w:r>
        <w:rPr>
          <w:sz w:val="28"/>
        </w:rPr>
        <w:t xml:space="preserve">2. Субъект персональных данных имеет право на получение информации, касающейся обработки его персональных данных, в том числе содержащей:</w:t>
      </w:r>
    </w:p>
    <w:p>
      <w:pPr>
        <w:pStyle w:val="a1"/>
        <w:widowControl/>
        <w:numPr>
          <w:numId w:val="0"/>
          <w:ilvl w:val="0"/>
        </w:numPr>
        <w:ind w:firstLine="709"/>
        <w:rPr>
          <w:sz w:val="28"/>
        </w:rPr>
      </w:pPr>
      <w:r>
        <w:rPr>
          <w:sz w:val="28"/>
        </w:rPr>
        <w:t xml:space="preserve">1) </w:t>
      </w:r>
      <w:r>
        <w:rPr>
          <w:sz w:val="28"/>
        </w:rPr>
        <w:t xml:space="preserve">подтверждение факта обработки персональных данных Управлением;</w:t>
      </w:r>
    </w:p>
    <w:p>
      <w:pPr>
        <w:pStyle w:val="a1"/>
        <w:widowControl/>
        <w:numPr>
          <w:numId w:val="0"/>
          <w:ilvl w:val="0"/>
        </w:numPr>
        <w:ind w:firstLine="709"/>
        <w:rPr>
          <w:sz w:val="28"/>
        </w:rPr>
      </w:pPr>
      <w:bookmarkStart w:id="0" w:name="sub_1442"/>
      <w:r>
        <w:rPr>
          <w:sz w:val="28"/>
        </w:rPr>
        <w:t xml:space="preserve">2) </w:t>
      </w:r>
      <w:r>
        <w:rPr>
          <w:sz w:val="28"/>
        </w:rPr>
        <w:t xml:space="preserve">правовые основания и цели обработки персональных данных;</w:t>
      </w:r>
    </w:p>
    <w:p>
      <w:pPr>
        <w:pStyle w:val="a1"/>
        <w:widowControl/>
        <w:numPr>
          <w:numId w:val="0"/>
          <w:ilvl w:val="0"/>
        </w:numPr>
        <w:ind w:firstLine="709"/>
        <w:rPr>
          <w:sz w:val="28"/>
        </w:rPr>
      </w:pPr>
      <w:bookmarkStart w:id="1" w:name="sub_1443"/>
      <w:bookmarkEnd w:id="0"/>
      <w:r>
        <w:rPr>
          <w:sz w:val="28"/>
        </w:rPr>
        <w:t xml:space="preserve">3) </w:t>
      </w:r>
      <w:r>
        <w:rPr>
          <w:sz w:val="28"/>
        </w:rPr>
        <w:t xml:space="preserve">цели и применяемые Управлением способы обработки персональных данных;</w:t>
      </w:r>
    </w:p>
    <w:p>
      <w:pPr>
        <w:pStyle w:val="a1"/>
        <w:widowControl/>
        <w:numPr>
          <w:numId w:val="0"/>
          <w:ilvl w:val="0"/>
        </w:numPr>
        <w:ind w:firstLine="709"/>
        <w:rPr>
          <w:sz w:val="28"/>
        </w:rPr>
      </w:pPr>
      <w:bookmarkStart w:id="2" w:name="sub_1444"/>
      <w:bookmarkEnd w:id="1"/>
      <w:r>
        <w:rPr>
          <w:sz w:val="28"/>
        </w:rPr>
        <w:t xml:space="preserve">4) </w:t>
      </w:r>
      <w:r>
        <w:rPr>
          <w:sz w:val="28"/>
        </w:rPr>
        <w:t xml:space="preserve">наименование и место нахождения Управления, сведения о лицах (за исключением сотрудников Управления),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w:t>
      </w:r>
    </w:p>
    <w:p>
      <w:pPr>
        <w:pStyle w:val="a1"/>
        <w:widowControl/>
        <w:numPr>
          <w:numId w:val="0"/>
          <w:ilvl w:val="0"/>
        </w:numPr>
        <w:ind w:firstLine="709"/>
        <w:rPr>
          <w:sz w:val="28"/>
        </w:rPr>
      </w:pPr>
      <w:bookmarkStart w:id="3" w:name="sub_1445"/>
      <w:bookmarkEnd w:id="2"/>
      <w:r>
        <w:rPr>
          <w:sz w:val="28"/>
        </w:rPr>
        <w:t xml:space="preserve">5) </w:t>
      </w:r>
      <w:r>
        <w:rPr>
          <w:sz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 в сфере защиты персональных данных;</w:t>
      </w:r>
    </w:p>
    <w:p>
      <w:pPr>
        <w:pStyle w:val="a1"/>
        <w:widowControl/>
        <w:numPr>
          <w:numId w:val="0"/>
          <w:ilvl w:val="0"/>
        </w:numPr>
        <w:ind w:firstLine="709"/>
        <w:rPr>
          <w:sz w:val="28"/>
        </w:rPr>
      </w:pPr>
      <w:bookmarkStart w:id="4" w:name="sub_1446"/>
      <w:bookmarkEnd w:id="3"/>
      <w:r>
        <w:rPr>
          <w:sz w:val="28"/>
        </w:rPr>
        <w:t xml:space="preserve">6) </w:t>
      </w:r>
      <w:r>
        <w:rPr>
          <w:sz w:val="28"/>
        </w:rPr>
        <w:t xml:space="preserve">сроки обработки персональных данных, в том числе сроки их хранения;</w:t>
      </w:r>
    </w:p>
    <w:p>
      <w:pPr>
        <w:pStyle w:val="a1"/>
        <w:widowControl/>
        <w:numPr>
          <w:numId w:val="0"/>
          <w:ilvl w:val="0"/>
        </w:numPr>
        <w:ind w:firstLine="709"/>
        <w:rPr>
          <w:sz w:val="28"/>
        </w:rPr>
      </w:pPr>
      <w:bookmarkStart w:id="5" w:name="sub_1447"/>
      <w:bookmarkEnd w:id="4"/>
      <w:r>
        <w:rPr>
          <w:sz w:val="28"/>
        </w:rPr>
        <w:t xml:space="preserve">7) </w:t>
      </w:r>
      <w:r>
        <w:rPr>
          <w:sz w:val="28"/>
        </w:rPr>
        <w:t xml:space="preserve">порядок осуществления субъектом персональных данных прав, предусмотренных </w:t>
      </w:r>
      <w:r>
        <w:rPr>
          <w:sz w:val="28"/>
        </w:rPr>
        <w:t xml:space="preserve">Федеральным законом № 152-ФЗ</w:t>
      </w:r>
      <w:r>
        <w:rPr>
          <w:sz w:val="28"/>
        </w:rPr>
        <w:t xml:space="preserve">;</w:t>
      </w:r>
    </w:p>
    <w:p>
      <w:pPr>
        <w:pStyle w:val="a1"/>
        <w:widowControl/>
        <w:numPr>
          <w:numId w:val="0"/>
          <w:ilvl w:val="0"/>
        </w:numPr>
        <w:ind w:firstLine="709"/>
        <w:rPr>
          <w:sz w:val="28"/>
        </w:rPr>
      </w:pPr>
      <w:bookmarkStart w:id="6" w:name="sub_1448"/>
      <w:bookmarkEnd w:id="5"/>
      <w:r>
        <w:rPr>
          <w:sz w:val="28"/>
        </w:rPr>
        <w:t xml:space="preserve">8) </w:t>
      </w:r>
      <w:r>
        <w:rPr>
          <w:sz w:val="28"/>
        </w:rPr>
        <w:t xml:space="preserve">информацию об осуществленной или о предполагаемой трансграничной передаче данных;</w:t>
      </w:r>
    </w:p>
    <w:p>
      <w:pPr>
        <w:pStyle w:val="a1"/>
        <w:widowControl/>
        <w:numPr>
          <w:numId w:val="0"/>
          <w:ilvl w:val="0"/>
        </w:numPr>
        <w:ind w:firstLine="709"/>
        <w:rPr>
          <w:sz w:val="28"/>
        </w:rPr>
      </w:pPr>
      <w:bookmarkStart w:id="7" w:name="sub_1449"/>
      <w:bookmarkEnd w:id="6"/>
      <w:r>
        <w:rPr>
          <w:sz w:val="28"/>
        </w:rPr>
        <w:t xml:space="preserve">9) </w:t>
      </w:r>
      <w:r>
        <w:rPr>
          <w:sz w:val="28"/>
        </w:rPr>
        <w:t xml:space="preserve">наименование или фамилию, имя, отчество и адрес лица, осуществляющего обработку персональных данных по поручению Управления, если обработка поручена или будет поручена такому лицу;</w:t>
      </w:r>
    </w:p>
    <w:p>
      <w:pPr>
        <w:pStyle w:val="a1"/>
        <w:widowControl/>
        <w:numPr>
          <w:numId w:val="0"/>
          <w:ilvl w:val="0"/>
        </w:numPr>
        <w:ind w:firstLine="709"/>
        <w:rPr>
          <w:sz w:val="28"/>
        </w:rPr>
      </w:pPr>
      <w:r>
        <w:rPr>
          <w:sz w:val="28"/>
        </w:rPr>
        <w:t xml:space="preserve">10) </w:t>
      </w:r>
      <w:r>
        <w:rPr>
          <w:sz w:val="28"/>
        </w:rPr>
        <w:t xml:space="preserve">информацию о способах исполнения Управлением обязанностей, установленных статьей 18.1 </w:t>
      </w:r>
      <w:r>
        <w:rPr>
          <w:sz w:val="28"/>
        </w:rPr>
        <w:t xml:space="preserve">Федерального закона № 152-ФЗ</w:t>
      </w:r>
      <w:r>
        <w:rPr>
          <w:sz w:val="28"/>
        </w:rPr>
        <w:t xml:space="preserve">;</w:t>
      </w:r>
      <w:bookmarkEnd w:id="7"/>
    </w:p>
    <w:p>
      <w:pPr>
        <w:pStyle w:val="a1"/>
        <w:widowControl/>
        <w:numPr>
          <w:numId w:val="0"/>
          <w:ilvl w:val="0"/>
        </w:numPr>
        <w:ind w:firstLine="709"/>
        <w:rPr>
          <w:sz w:val="28"/>
        </w:rPr>
      </w:pPr>
      <w:r>
        <w:rPr>
          <w:sz w:val="28"/>
        </w:rPr>
        <w:t xml:space="preserve">11) </w:t>
      </w:r>
      <w:r>
        <w:rPr>
          <w:sz w:val="28"/>
        </w:rPr>
        <w:t xml:space="preserve">иные сведения, предусмотренные </w:t>
      </w:r>
      <w:r>
        <w:rPr>
          <w:sz w:val="28"/>
        </w:rPr>
        <w:t xml:space="preserve">Федеральным законом № 152-ФЗ</w:t>
      </w:r>
      <w:r>
        <w:rPr>
          <w:sz w:val="28"/>
        </w:rPr>
        <w:t xml:space="preserve"> или другими федеральными законами.</w:t>
      </w:r>
    </w:p>
    <w:p>
      <w:pPr>
        <w:pStyle w:val="2"/>
        <w:numPr>
          <w:numId w:val="0"/>
          <w:ilvl w:val="0"/>
        </w:numPr>
        <w:ind w:firstLine="709"/>
        <w:rPr>
          <w:sz w:val="28"/>
        </w:rPr>
      </w:pPr>
      <w:r>
        <w:rPr>
          <w:sz w:val="28"/>
        </w:rPr>
        <w:t xml:space="preserve">3. </w:t>
      </w:r>
      <w:r>
        <w:rPr>
          <w:sz w:val="28"/>
        </w:rPr>
        <w:t xml:space="preserve">Сведения, указанные в пункте 2</w:t>
      </w:r>
      <w:r>
        <w:rPr>
          <w:sz w:val="28"/>
        </w:rPr>
        <w:t xml:space="preserve"> Правил, должны быть предоставлены субъекту персональных данных Управлением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2"/>
        <w:numPr>
          <w:numId w:val="0"/>
          <w:ilvl w:val="0"/>
        </w:numPr>
        <w:ind w:firstLine="709"/>
        <w:rPr>
          <w:sz w:val="28"/>
        </w:rPr>
      </w:pPr>
      <w:r>
        <w:rPr>
          <w:sz w:val="28"/>
        </w:rPr>
        <w:t xml:space="preserve">4. </w:t>
      </w:r>
      <w:r>
        <w:rPr>
          <w:sz w:val="28"/>
        </w:rPr>
        <w:t xml:space="preserve">Сведения, указанные в пункте 2</w:t>
      </w:r>
      <w:r>
        <w:rPr>
          <w:sz w:val="28"/>
        </w:rPr>
        <w:t xml:space="preserve"> Правил, предоставляются субъекту персональных данных или его представителю Управлением </w:t>
      </w:r>
      <w:bookmarkStart w:id="8" w:name="_Hlk116399779"/>
      <w:r>
        <w:rPr>
          <w:sz w:val="28"/>
        </w:rPr>
        <w:t xml:space="preserve">при обращении либо при получении запроса субъекта персональных данных или его представителя</w:t>
      </w:r>
      <w:r>
        <w:rPr>
          <w:sz w:val="28"/>
        </w:rPr>
        <w:t xml:space="preserve"> по форме согласно приложению к Правилам</w:t>
      </w:r>
      <w:r>
        <w:rPr>
          <w:sz w:val="28"/>
        </w:rPr>
        <w:t xml:space="preserve">.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Управлением, либо сведения, иным образом подтверждающие факт обработки персональных данных Управлением, подпись субъекта персональных данных или его представителя. Запрос может быть направлен в форме электронного документа и подписан </w:t>
      </w:r>
      <w:hyperlink r:id="rId10" w:tooltip="garantF1://12084522.21" w:history="1">
        <w:r>
          <w:rPr>
            <w:sz w:val="28"/>
          </w:rPr>
          <w:t xml:space="preserve">электронной подписью</w:t>
        </w:r>
      </w:hyperlink>
      <w:r>
        <w:rPr>
          <w:sz w:val="28"/>
        </w:rPr>
        <w:t xml:space="preserve"> в соответствии с законодательством Российской Федерации. Управление предоставляет запрашиваемые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bookmarkEnd w:id="8"/>
      <w:r>
        <w:rPr>
          <w:sz w:val="28"/>
        </w:rPr>
        <w:t xml:space="preserve"> </w:t>
      </w:r>
    </w:p>
    <w:p>
      <w:pPr>
        <w:pStyle w:val="2"/>
        <w:numPr>
          <w:numId w:val="0"/>
          <w:ilvl w:val="0"/>
        </w:numPr>
        <w:ind w:firstLine="709"/>
        <w:rPr>
          <w:sz w:val="28"/>
        </w:rPr>
      </w:pPr>
      <w:r>
        <w:rPr>
          <w:sz w:val="28"/>
        </w:rPr>
        <w:t xml:space="preserve">5. В случае, если </w:t>
      </w:r>
      <w:r>
        <w:rPr>
          <w:sz w:val="28"/>
        </w:rPr>
        <w:t xml:space="preserve">сведения, указанные в пункте 2</w:t>
      </w:r>
      <w:r>
        <w:rPr>
          <w:sz w:val="28"/>
        </w:rPr>
        <w:t xml:space="preserve">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Управление или направить повторный запрос в целях получения </w:t>
      </w:r>
      <w:r>
        <w:rPr>
          <w:sz w:val="28"/>
        </w:rPr>
        <w:t xml:space="preserve">сведений, указанных в пункте 2</w:t>
      </w:r>
      <w:r>
        <w:rPr>
          <w:sz w:val="28"/>
        </w:rPr>
        <w:t xml:space="preserve">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2"/>
        <w:numPr>
          <w:numId w:val="0"/>
          <w:ilvl w:val="0"/>
        </w:numPr>
        <w:ind w:firstLine="709"/>
        <w:rPr>
          <w:sz w:val="28"/>
        </w:rPr>
      </w:pPr>
      <w:r>
        <w:rPr>
          <w:sz w:val="28"/>
        </w:rPr>
        <w:t xml:space="preserve">6. Субъект персональных данных вправе обратиться повторно в Управление или направить повторный запрос в целях получения сведений, указанных в пункте </w:t>
      </w:r>
      <w:r>
        <w:rPr>
          <w:sz w:val="28"/>
        </w:rPr>
        <w:t xml:space="preserve">2</w:t>
      </w:r>
      <w:r>
        <w:rPr>
          <w:sz w:val="28"/>
        </w:rPr>
        <w:t xml:space="preserve"> Правил, а также в целях ознакомления с обрабатываемыми персональными данными до истечения срока, указанного в пункте </w:t>
      </w:r>
      <w:r>
        <w:rPr>
          <w:sz w:val="28"/>
        </w:rPr>
        <w:t xml:space="preserve">5</w:t>
      </w:r>
      <w:r>
        <w:rPr>
          <w:sz w:val="28"/>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w:t>
      </w:r>
      <w:r>
        <w:rPr>
          <w:sz w:val="28"/>
        </w:rPr>
        <w:t xml:space="preserve">4</w:t>
      </w:r>
      <w:r>
        <w:rPr>
          <w:sz w:val="28"/>
        </w:rPr>
        <w:t xml:space="preserve"> Правил, должен содержать обоснование направления повторного запроса.</w:t>
      </w:r>
    </w:p>
    <w:p>
      <w:pPr>
        <w:pStyle w:val="2"/>
        <w:numPr>
          <w:numId w:val="0"/>
          <w:ilvl w:val="0"/>
        </w:numPr>
        <w:ind w:firstLine="709"/>
        <w:rPr>
          <w:sz w:val="28"/>
        </w:rPr>
      </w:pPr>
      <w:r>
        <w:rPr>
          <w:sz w:val="28"/>
        </w:rPr>
        <w:t xml:space="preserve">7. Управление вправе отказать субъекту персональных данных в выполнении повторного запроса, не соответствующего условиям, предусмотренным пунктами </w:t>
      </w:r>
      <w:r>
        <w:rPr>
          <w:sz w:val="28"/>
        </w:rPr>
        <w:t xml:space="preserve">5</w:t>
      </w:r>
      <w:r>
        <w:rPr>
          <w:sz w:val="28"/>
        </w:rPr>
        <w:t xml:space="preserve"> и </w:t>
      </w:r>
      <w:r>
        <w:rPr>
          <w:sz w:val="28"/>
        </w:rPr>
        <w:t xml:space="preserve">6</w:t>
      </w:r>
      <w:r>
        <w:rPr>
          <w:sz w:val="28"/>
        </w:rPr>
        <w:t xml:space="preserve">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Управлении.</w:t>
      </w:r>
    </w:p>
    <w:p>
      <w:pPr>
        <w:pStyle w:val="2"/>
        <w:numPr>
          <w:numId w:val="0"/>
          <w:ilvl w:val="0"/>
        </w:numPr>
        <w:ind w:firstLine="709"/>
        <w:rPr>
          <w:sz w:val="28"/>
        </w:rPr>
      </w:pPr>
      <w:r>
        <w:rPr>
          <w:sz w:val="28"/>
        </w:rPr>
        <w:t xml:space="preserve">8. Субъект персональных данных вправе требовать от Управления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2"/>
        <w:numPr>
          <w:numId w:val="0"/>
          <w:ilvl w:val="0"/>
        </w:numPr>
        <w:ind w:firstLine="709"/>
        <w:rPr>
          <w:sz w:val="28"/>
        </w:rPr>
      </w:pPr>
      <w:r>
        <w:rPr>
          <w:sz w:val="28"/>
        </w:rPr>
        <w:t xml:space="preserve">9.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a1"/>
        <w:widowControl/>
        <w:numPr>
          <w:numId w:val="0"/>
          <w:ilvl w:val="0"/>
        </w:numPr>
        <w:ind w:firstLine="709"/>
        <w:rPr>
          <w:sz w:val="28"/>
        </w:rPr>
      </w:pPr>
      <w:bookmarkStart w:id="9" w:name="sub_14051"/>
      <w:r>
        <w:rPr>
          <w:sz w:val="28"/>
        </w:rPr>
        <w:t xml:space="preserve">1) </w:t>
      </w:r>
      <w:r>
        <w:rPr>
          <w:sz w:val="28"/>
        </w:rPr>
        <w:t xml:space="preserve">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a1"/>
        <w:widowControl/>
        <w:numPr>
          <w:numId w:val="0"/>
          <w:ilvl w:val="0"/>
        </w:numPr>
        <w:ind w:firstLine="709"/>
        <w:rPr>
          <w:sz w:val="28"/>
        </w:rPr>
      </w:pPr>
      <w:bookmarkStart w:id="10" w:name="sub_14052"/>
      <w:bookmarkEnd w:id="9"/>
      <w:r>
        <w:rPr>
          <w:sz w:val="28"/>
        </w:rPr>
        <w:t xml:space="preserve">2) </w:t>
      </w:r>
      <w:r>
        <w:rPr>
          <w:sz w:val="28"/>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11" w:tooltip="garantF1://12025178.1" w:history="1">
        <w:r>
          <w:rPr>
            <w:sz w:val="28"/>
          </w:rPr>
          <w:t xml:space="preserve">уголовно-процессуальным законодательством</w:t>
        </w:r>
      </w:hyperlink>
      <w:r>
        <w:rPr>
          <w:sz w:val="28"/>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a1"/>
        <w:widowControl/>
        <w:numPr>
          <w:numId w:val="0"/>
          <w:ilvl w:val="0"/>
        </w:numPr>
        <w:ind w:firstLine="709"/>
        <w:rPr>
          <w:sz w:val="28"/>
        </w:rPr>
      </w:pPr>
      <w:bookmarkStart w:id="11" w:name="sub_1453"/>
      <w:bookmarkEnd w:id="10"/>
      <w:r>
        <w:rPr>
          <w:sz w:val="28"/>
        </w:rPr>
        <w:t xml:space="preserve">3) </w:t>
      </w:r>
      <w:r>
        <w:rPr>
          <w:sz w:val="28"/>
        </w:rPr>
        <w:t xml:space="preserve">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pPr>
        <w:pStyle w:val="a1"/>
        <w:widowControl/>
        <w:numPr>
          <w:numId w:val="0"/>
          <w:ilvl w:val="0"/>
        </w:numPr>
        <w:ind w:firstLine="709"/>
        <w:rPr>
          <w:sz w:val="28"/>
        </w:rPr>
      </w:pPr>
      <w:bookmarkStart w:id="12" w:name="sub_14053"/>
      <w:bookmarkEnd w:id="11"/>
      <w:r>
        <w:rPr>
          <w:sz w:val="28"/>
        </w:rPr>
        <w:t xml:space="preserve">4) </w:t>
      </w:r>
      <w:r>
        <w:rPr>
          <w:sz w:val="28"/>
        </w:rPr>
        <w:t xml:space="preserve">доступ субъекта персональных данных к его персональным данным нарушает права и законные интересы третьих лиц;</w:t>
      </w:r>
      <w:bookmarkEnd w:id="12"/>
    </w:p>
    <w:p>
      <w:pPr>
        <w:pStyle w:val="a1"/>
        <w:widowControl/>
        <w:numPr>
          <w:numId w:val="0"/>
          <w:ilvl w:val="0"/>
        </w:numPr>
        <w:ind w:firstLine="709"/>
        <w:rPr>
          <w:sz w:val="28"/>
        </w:rPr>
      </w:pPr>
      <w:r>
        <w:rPr>
          <w:sz w:val="28"/>
        </w:rPr>
        <w:t xml:space="preserve">5) </w:t>
      </w:r>
      <w:r>
        <w:rPr>
          <w:sz w:val="28"/>
        </w:rPr>
        <w:t xml:space="preserve">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spacing w:line="240" w:lineRule="auto"/>
        <w:rPr>
          <w:sz w:val="28"/>
        </w:rPr>
      </w:pPr>
    </w:p>
    <w:p>
      <w:pPr>
        <w:spacing w:line="240" w:lineRule="auto"/>
        <w:ind w:left="349"/>
        <w:contextualSpacing/>
        <w:jc w:val="center"/>
        <w:rPr>
          <w:b/>
          <w:bCs/>
          <w:sz w:val="28"/>
        </w:rPr>
      </w:pPr>
      <w:r>
        <w:rPr>
          <w:b/>
          <w:bCs/>
          <w:sz w:val="28"/>
          <w:lang w:val="en-US"/>
        </w:rPr>
        <w:t xml:space="preserve">III</w:t>
      </w:r>
      <w:r>
        <w:rPr>
          <w:b/>
          <w:bCs/>
          <w:sz w:val="28"/>
        </w:rPr>
        <w:t xml:space="preserve">.</w:t>
      </w:r>
      <w:r>
        <w:rPr>
          <w:b/>
          <w:bCs/>
          <w:sz w:val="28"/>
          <w:lang w:val="en-US"/>
        </w:rPr>
        <w:t xml:space="preserve"> </w:t>
      </w:r>
      <w:r>
        <w:rPr>
          <w:b/>
          <w:bCs/>
          <w:sz w:val="28"/>
        </w:rPr>
        <w:t xml:space="preserve">Обязанности Управления при обращении к нему субъекта персональных данных либо при получении запроса субъекта персональных данных или его представителя</w:t>
      </w:r>
    </w:p>
    <w:p>
      <w:pPr>
        <w:spacing w:line="240" w:lineRule="auto"/>
        <w:rPr>
          <w:sz w:val="28"/>
        </w:rPr>
      </w:pPr>
    </w:p>
    <w:p>
      <w:pPr>
        <w:pStyle w:val="2"/>
        <w:numPr>
          <w:numId w:val="0"/>
          <w:ilvl w:val="0"/>
        </w:numPr>
        <w:ind w:firstLine="709"/>
        <w:rPr>
          <w:sz w:val="28"/>
        </w:rPr>
      </w:pPr>
      <w:r>
        <w:rPr>
          <w:sz w:val="28"/>
        </w:rPr>
        <w:t xml:space="preserve">10. Управление обязуется сообщить в порядке, предусмотренном Правилами,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момента обращения либо получения Управлением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2"/>
        <w:numPr>
          <w:numId w:val="0"/>
          <w:ilvl w:val="0"/>
        </w:numPr>
        <w:ind w:firstLine="709"/>
        <w:rPr>
          <w:sz w:val="28"/>
        </w:rPr>
      </w:pPr>
      <w:r>
        <w:rPr>
          <w:sz w:val="28"/>
        </w:rPr>
        <w:t xml:space="preserve">11.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Управление обязуется дать в письменной форме мотивированный ответ с указанием причин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Управлением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2"/>
        <w:numPr>
          <w:numId w:val="0"/>
          <w:ilvl w:val="0"/>
        </w:numPr>
        <w:ind w:firstLine="709"/>
        <w:rPr>
          <w:sz w:val="28"/>
        </w:rPr>
      </w:pPr>
      <w:r>
        <w:rPr>
          <w:sz w:val="28"/>
        </w:rPr>
        <w:t xml:space="preserve">12.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Управление обязуется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Управление обязуется уничтожить такие персональные данные. Управление обязуется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2"/>
        <w:numPr>
          <w:numId w:val="0"/>
          <w:ilvl w:val="0"/>
        </w:numPr>
        <w:ind w:firstLine="709"/>
        <w:rPr>
          <w:sz w:val="28"/>
        </w:rPr>
      </w:pPr>
      <w:r>
        <w:rPr>
          <w:sz w:val="28"/>
        </w:rPr>
        <w:t xml:space="preserve">13.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Управление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w:t>
      </w:r>
      <w:r>
        <w:rPr>
          <w:sz w:val="28"/>
        </w:rPr>
        <w:t xml:space="preserve">блокирование (если обработка персональных данных осуществляется другим лицом, действующим по поручению Управления) с момента такого обращения или получения указанного запроса на период проверки.</w:t>
      </w:r>
    </w:p>
    <w:p>
      <w:pPr>
        <w:pStyle w:val="2"/>
        <w:numPr>
          <w:numId w:val="0"/>
          <w:ilvl w:val="0"/>
        </w:numPr>
        <w:ind w:firstLine="709"/>
        <w:rPr>
          <w:sz w:val="28"/>
        </w:rPr>
      </w:pPr>
      <w:r>
        <w:rPr>
          <w:sz w:val="28"/>
        </w:rPr>
        <w:t xml:space="preserve">14.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w:t>
      </w:r>
    </w:p>
    <w:p>
      <w:pPr>
        <w:pStyle w:val="2"/>
        <w:numPr>
          <w:numId w:val="0"/>
          <w:ilvl w:val="0"/>
        </w:numPr>
        <w:ind w:firstLine="709"/>
        <w:rPr>
          <w:sz w:val="28"/>
        </w:rPr>
      </w:pPr>
      <w:r>
        <w:rPr>
          <w:sz w:val="28"/>
        </w:rPr>
        <w:t xml:space="preserve">15. В случае выявления неточных персональных данных при обращении субъекта персональных данных или его представителя либо по их запросу Управление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Управления)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2"/>
        <w:numPr>
          <w:numId w:val="0"/>
          <w:ilvl w:val="0"/>
        </w:numPr>
        <w:ind w:firstLine="709"/>
        <w:rPr>
          <w:sz w:val="28"/>
        </w:rPr>
      </w:pPr>
      <w:r>
        <w:rPr>
          <w:sz w:val="28"/>
        </w:rPr>
        <w:t xml:space="preserve">16. В случае подтверждения факта неточности персональных данных Управление на основании сведений, представленных субъектом персональных данных или его представителем,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Управления) в течение семи рабочих дней со дня представления таких сведений и снять блокирование персональных данных.</w:t>
      </w:r>
    </w:p>
    <w:p>
      <w:pPr>
        <w:spacing w:line="240" w:lineRule="auto"/>
        <w:rPr>
          <w:sz w:val="28"/>
        </w:rPr>
      </w:pPr>
    </w:p>
    <w:p>
      <w:pPr>
        <w:spacing w:line="240" w:lineRule="auto"/>
        <w:ind w:left="349"/>
        <w:contextualSpacing/>
        <w:jc w:val="center"/>
        <w:rPr>
          <w:b/>
          <w:bCs/>
          <w:sz w:val="28"/>
        </w:rPr>
      </w:pPr>
      <w:r>
        <w:rPr>
          <w:b/>
          <w:bCs/>
          <w:sz w:val="28"/>
          <w:lang w:val="en-US"/>
        </w:rPr>
        <w:t xml:space="preserve">IV</w:t>
      </w:r>
      <w:r>
        <w:rPr>
          <w:b/>
          <w:bCs/>
          <w:sz w:val="28"/>
        </w:rPr>
        <w:t xml:space="preserve">.</w:t>
      </w:r>
      <w:r>
        <w:rPr>
          <w:b/>
          <w:bCs/>
          <w:sz w:val="28"/>
          <w:lang w:val="en-US"/>
        </w:rPr>
        <w:t xml:space="preserve"> </w:t>
      </w:r>
      <w:r>
        <w:rPr>
          <w:b/>
          <w:bCs/>
          <w:sz w:val="28"/>
        </w:rPr>
        <w:t xml:space="preserve">Порядок рассмотрения запросов субъектов персональных данных или их представителей</w:t>
      </w:r>
    </w:p>
    <w:p>
      <w:pPr>
        <w:spacing w:line="240" w:lineRule="auto"/>
        <w:rPr>
          <w:sz w:val="28"/>
        </w:rPr>
      </w:pPr>
    </w:p>
    <w:p>
      <w:pPr>
        <w:pStyle w:val="2"/>
        <w:numPr>
          <w:numId w:val="0"/>
          <w:ilvl w:val="0"/>
        </w:numPr>
        <w:ind w:firstLine="709"/>
        <w:rPr>
          <w:sz w:val="28"/>
          <w:highlight w:val="white"/>
        </w:rPr>
      </w:pPr>
      <w:r>
        <w:rPr>
          <w:sz w:val="28"/>
        </w:rPr>
        <w:t xml:space="preserve">17</w:t>
      </w:r>
      <w:r>
        <w:rPr>
          <w:sz w:val="28"/>
        </w:rPr>
        <w:t xml:space="preserve">.</w:t>
      </w:r>
      <w:r>
        <w:rPr>
          <w:sz w:val="28"/>
        </w:rPr>
        <w:t xml:space="preserve"> В день поступления запроса субъекта персональных данных или его представителя в Управление указанный запрос необходимо зарегистрировать в соответствии с правилами документооборота, установленными Управлением, а также внести соответствующую запись в Журнал учета обращений субъектов персональных данных и их представителей</w:t>
      </w:r>
      <w:r>
        <w:rPr>
          <w:sz w:val="28"/>
          <w:highlight w:val="white"/>
        </w:rPr>
        <w:t xml:space="preserve">. Ф</w:t>
      </w:r>
      <w:r>
        <w:rPr>
          <w:sz w:val="28"/>
          <w:highlight w:val="white"/>
        </w:rPr>
        <w:t xml:space="preserve">орма </w:t>
      </w:r>
      <w:r>
        <w:rPr>
          <w:sz w:val="28"/>
          <w:highlight w:val="white"/>
        </w:rPr>
        <w:t xml:space="preserve">соответствующего ж</w:t>
      </w:r>
      <w:r>
        <w:rPr>
          <w:sz w:val="28"/>
          <w:highlight w:val="white"/>
        </w:rPr>
        <w:t xml:space="preserve">урнала </w:t>
      </w:r>
      <w:r>
        <w:rPr>
          <w:sz w:val="28"/>
          <w:highlight w:val="white"/>
        </w:rPr>
        <w:t xml:space="preserve">утверждается </w:t>
      </w:r>
      <w:r>
        <w:rPr>
          <w:sz w:val="28"/>
          <w:highlight w:val="white"/>
        </w:rPr>
        <w:t xml:space="preserve">приказом </w:t>
      </w:r>
      <w:r>
        <w:rPr>
          <w:sz w:val="28"/>
          <w:highlight w:val="white"/>
        </w:rPr>
        <w:t xml:space="preserve">Управлени</w:t>
      </w:r>
      <w:r>
        <w:rPr>
          <w:sz w:val="28"/>
          <w:highlight w:val="white"/>
        </w:rPr>
        <w:t xml:space="preserve">я</w:t>
      </w:r>
      <w:r>
        <w:rPr>
          <w:sz w:val="28"/>
          <w:highlight w:val="white"/>
        </w:rPr>
        <w:t xml:space="preserve">.</w:t>
      </w:r>
    </w:p>
    <w:p>
      <w:pPr>
        <w:pStyle w:val="2"/>
        <w:numPr>
          <w:numId w:val="0"/>
          <w:ilvl w:val="0"/>
        </w:numPr>
        <w:ind w:firstLine="709"/>
        <w:rPr>
          <w:sz w:val="28"/>
        </w:rPr>
      </w:pPr>
      <w:r>
        <w:rPr>
          <w:sz w:val="28"/>
        </w:rPr>
        <w:t xml:space="preserve">18</w:t>
      </w:r>
      <w:r>
        <w:rPr>
          <w:sz w:val="28"/>
        </w:rPr>
        <w:t xml:space="preserve">.</w:t>
      </w:r>
      <w:r>
        <w:rPr>
          <w:sz w:val="28"/>
        </w:rPr>
        <w:t xml:space="preserve"> </w:t>
      </w:r>
      <w:r>
        <w:rPr>
          <w:sz w:val="28"/>
        </w:rPr>
        <w:t xml:space="preserve">Ответственный </w:t>
      </w:r>
      <w:r>
        <w:rPr>
          <w:sz w:val="28"/>
        </w:rPr>
        <w:t xml:space="preserve">специалист </w:t>
      </w:r>
      <w:r>
        <w:rPr>
          <w:sz w:val="28"/>
        </w:rPr>
        <w:t xml:space="preserve">за организацию</w:t>
      </w:r>
      <w:r>
        <w:rPr>
          <w:sz w:val="28"/>
        </w:rPr>
        <w:t xml:space="preserve"> обработки персональных данных Управления осуществляет непосредственный контроль за соблюдением установленного законодательством Российской Федерации и Правилами порядка </w:t>
      </w:r>
      <w:r>
        <w:rPr>
          <w:sz w:val="28"/>
        </w:rPr>
        <w:t xml:space="preserve">рассмотрения запросов субъектов персональных данных или их представителей. На контроль берутся все запросы.</w:t>
      </w:r>
    </w:p>
    <w:p>
      <w:pPr>
        <w:pStyle w:val="2"/>
        <w:numPr>
          <w:numId w:val="0"/>
          <w:ilvl w:val="0"/>
        </w:numPr>
        <w:ind w:firstLine="709"/>
        <w:rPr>
          <w:sz w:val="28"/>
        </w:rPr>
      </w:pPr>
      <w:r>
        <w:rPr>
          <w:sz w:val="28"/>
        </w:rPr>
        <w:t xml:space="preserve">19</w:t>
      </w:r>
      <w:r>
        <w:rPr>
          <w:sz w:val="28"/>
        </w:rPr>
        <w:t xml:space="preserve">.</w:t>
      </w:r>
      <w:r>
        <w:rPr>
          <w:sz w:val="28"/>
        </w:rPr>
        <w:t xml:space="preserve"> </w:t>
      </w:r>
      <w:r>
        <w:rPr>
          <w:sz w:val="28"/>
        </w:rPr>
        <w:t xml:space="preserve">Ответственный </w:t>
      </w:r>
      <w:r>
        <w:rPr>
          <w:sz w:val="28"/>
        </w:rPr>
        <w:t xml:space="preserve">специалист </w:t>
      </w:r>
      <w:r>
        <w:rPr>
          <w:sz w:val="28"/>
        </w:rPr>
        <w:t xml:space="preserve">за организацию</w:t>
      </w:r>
      <w:r>
        <w:rPr>
          <w:sz w:val="28"/>
        </w:rPr>
        <w:t xml:space="preserve"> обработки персональных данных и (или) структурное подразделение, ответственное за исполнение указанного запроса, обеспечивает рассмотрение запроса и подготовку необходимой информации в установленный законодательством срок.</w:t>
      </w:r>
    </w:p>
    <w:p>
      <w:pPr>
        <w:pStyle w:val="2"/>
        <w:numPr>
          <w:numId w:val="0"/>
          <w:ilvl w:val="0"/>
        </w:numPr>
        <w:ind w:firstLine="709"/>
        <w:rPr>
          <w:sz w:val="28"/>
        </w:rPr>
      </w:pPr>
      <w:r>
        <w:rPr>
          <w:sz w:val="28"/>
        </w:rPr>
        <w:t xml:space="preserve">20</w:t>
      </w:r>
      <w:r>
        <w:rPr>
          <w:sz w:val="28"/>
        </w:rPr>
        <w:t xml:space="preserve">.</w:t>
      </w:r>
      <w:r>
        <w:rPr>
          <w:sz w:val="28"/>
        </w:rPr>
        <w:t xml:space="preserve"> Для проверки фактов правонарушений, совершенных со стороны Управления и изложенных в запросах объектов персональных данных и (или) их представителей, при необходимости организуются служебные проверки в соответствии с законодательством Российской Федерации. В случае выявления фактов совершения сотрудниками Управления действий (бездействия), содержащих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руководителю.</w:t>
      </w:r>
    </w:p>
    <w:p>
      <w:pPr>
        <w:pStyle w:val="2"/>
        <w:numPr>
          <w:numId w:val="0"/>
          <w:ilvl w:val="0"/>
        </w:numPr>
        <w:ind w:firstLine="709"/>
        <w:rPr>
          <w:sz w:val="28"/>
        </w:rPr>
      </w:pPr>
      <w:r>
        <w:rPr>
          <w:sz w:val="28"/>
        </w:rPr>
        <w:t xml:space="preserve">21</w:t>
      </w:r>
      <w:r>
        <w:rPr>
          <w:sz w:val="28"/>
        </w:rPr>
        <w:t xml:space="preserve">.</w:t>
      </w:r>
      <w:r>
        <w:rPr>
          <w:sz w:val="28"/>
          <w:highlight w:val="white"/>
        </w:rPr>
        <w:t xml:space="preserve"> Типовая форма уведомления субъекта персональных данных или его представителей об</w:t>
      </w:r>
      <w:r>
        <w:rPr>
          <w:bCs/>
          <w:sz w:val="28"/>
        </w:rPr>
        <w:t xml:space="preserve"> уничтожении, </w:t>
      </w:r>
      <w:r>
        <w:rPr>
          <w:sz w:val="28"/>
        </w:rPr>
        <w:t xml:space="preserve">изменении, прекращении обработки, устранении нарушений, допущенных при обработке персональных данных </w:t>
      </w:r>
      <w:r>
        <w:rPr>
          <w:sz w:val="28"/>
          <w:highlight w:val="white"/>
        </w:rPr>
        <w:t xml:space="preserve">субъекта персональных данных или его представителей </w:t>
      </w:r>
      <w:r>
        <w:rPr>
          <w:sz w:val="28"/>
          <w:highlight w:val="white"/>
        </w:rPr>
        <w:t xml:space="preserve">утверждается </w:t>
      </w:r>
      <w:r>
        <w:rPr>
          <w:sz w:val="28"/>
          <w:highlight w:val="white"/>
        </w:rPr>
        <w:t xml:space="preserve">приказом </w:t>
      </w:r>
      <w:r>
        <w:rPr>
          <w:sz w:val="28"/>
          <w:highlight w:val="white"/>
        </w:rPr>
        <w:t xml:space="preserve">Управлени</w:t>
      </w:r>
      <w:r>
        <w:rPr>
          <w:sz w:val="28"/>
          <w:highlight w:val="white"/>
        </w:rPr>
        <w:t xml:space="preserve">я</w:t>
      </w:r>
      <w:r>
        <w:rPr>
          <w:sz w:val="28"/>
          <w:highlight w:val="white"/>
        </w:rPr>
        <w:t xml:space="preserve">.</w:t>
      </w:r>
    </w:p>
    <w:p>
      <w:pPr>
        <w:pStyle w:val="2"/>
        <w:numPr>
          <w:numId w:val="0"/>
          <w:ilvl w:val="0"/>
        </w:numPr>
        <w:ind w:firstLine="709"/>
        <w:rPr>
          <w:sz w:val="28"/>
        </w:rPr>
      </w:pPr>
      <w:r>
        <w:rPr>
          <w:sz w:val="28"/>
        </w:rPr>
        <w:t xml:space="preserve">22</w:t>
      </w:r>
      <w:r>
        <w:rPr>
          <w:sz w:val="28"/>
        </w:rPr>
        <w:t xml:space="preserve">.</w:t>
      </w:r>
      <w:r>
        <w:rPr>
          <w:sz w:val="28"/>
        </w:rPr>
        <w:t xml:space="preserve"> Запрос считается исполненным, если рассмотрены все поставленные в нем вопросы, приняты необходимые меры и даны исчерпывающие ответы заявителю.</w:t>
      </w:r>
    </w:p>
    <w:p>
      <w:pPr>
        <w:pStyle w:val="2"/>
        <w:numPr>
          <w:numId w:val="0"/>
          <w:ilvl w:val="0"/>
        </w:numPr>
        <w:ind w:firstLine="709"/>
        <w:rPr>
          <w:sz w:val="28"/>
        </w:rPr>
      </w:pPr>
      <w:r>
        <w:rPr>
          <w:sz w:val="28"/>
        </w:rPr>
        <w:t xml:space="preserve">23</w:t>
      </w:r>
      <w:r>
        <w:rPr>
          <w:sz w:val="28"/>
        </w:rPr>
        <w:t xml:space="preserve">.</w:t>
      </w:r>
      <w:r>
        <w:rPr>
          <w:sz w:val="28"/>
        </w:rPr>
        <w:t xml:space="preserve">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pPr>
        <w:jc w:val="left"/>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240" w:lineRule="auto"/>
        <w:ind w:left="6378"/>
        <w:jc w:val="center"/>
        <w:rPr>
          <w:color w:val="000000" w:themeColor="text1"/>
          <w:szCs w:val="26"/>
        </w:rPr>
      </w:pPr>
      <w:r>
        <w:rPr>
          <w:color w:val="000000" w:themeColor="text1"/>
          <w:szCs w:val="26"/>
          <w:highlight w:val="white"/>
        </w:rPr>
        <w:t xml:space="preserve">ПРИЛОЖЕНИЕ </w:t>
      </w:r>
    </w:p>
    <w:p>
      <w:pPr>
        <w:pStyle w:val="aa"/>
        <w:ind w:left="6378"/>
        <w:rPr>
          <w:color w:val="000000" w:themeColor="text1"/>
          <w:szCs w:val="26"/>
          <w:highlight w:val="white"/>
        </w:rPr>
      </w:pPr>
      <w:r>
        <w:rPr>
          <w:b w:val="0"/>
          <w:color w:val="000000" w:themeColor="text1"/>
          <w:szCs w:val="26"/>
          <w:highlight w:val="white"/>
        </w:rPr>
        <w:t xml:space="preserve">к Правилам </w:t>
      </w:r>
      <w:r>
        <w:rPr>
          <w:b w:val="0"/>
          <w:color w:val="000000" w:themeColor="text1"/>
          <w:szCs w:val="26"/>
        </w:rPr>
        <w:t xml:space="preserve">рассмотрения запросов субъектов персональных данных или их представителей в контрольном управлении Новосибирской области</w:t>
      </w:r>
    </w:p>
    <w:p>
      <w:pPr>
        <w:pStyle w:val="2"/>
        <w:numPr>
          <w:numId w:val="0"/>
          <w:ilvl w:val="0"/>
        </w:numPr>
        <w:rPr>
          <w:szCs w:val="26"/>
        </w:rPr>
      </w:pPr>
    </w:p>
    <w:p>
      <w:pPr>
        <w:pStyle w:val="10"/>
        <w:spacing w:before="0" w:after="0"/>
        <w:rPr>
          <w:sz w:val="26"/>
          <w:szCs w:val="26"/>
          <w:highlight w:val="white"/>
        </w:rPr>
      </w:pPr>
      <w:bookmarkStart w:id="13" w:name="_GoBack"/>
      <w:bookmarkEnd w:id="13"/>
      <w:r>
        <w:rPr>
          <w:sz w:val="26"/>
          <w:szCs w:val="26"/>
          <w:highlight w:val="white"/>
        </w:rPr>
        <w:t xml:space="preserve">ФОРМА</w:t>
      </w:r>
    </w:p>
    <w:p>
      <w:pPr>
        <w:pStyle w:val="10"/>
        <w:spacing w:before="0" w:after="0"/>
        <w:rPr>
          <w:sz w:val="26"/>
          <w:szCs w:val="26"/>
        </w:rPr>
      </w:pPr>
      <w:r>
        <w:rPr>
          <w:sz w:val="26"/>
          <w:szCs w:val="26"/>
          <w:highlight w:val="white"/>
        </w:rPr>
        <w:t xml:space="preserve">запроса субъекта персональных данных или его представителей </w:t>
      </w:r>
      <w:r>
        <w:rPr>
          <w:sz w:val="26"/>
          <w:szCs w:val="26"/>
        </w:rPr>
        <w:t xml:space="preserve">на получение </w:t>
      </w:r>
      <w:r>
        <w:rPr>
          <w:sz w:val="26"/>
          <w:szCs w:val="26"/>
        </w:rPr>
        <w:t xml:space="preserve">информации, касающейся обработки его персональных данных</w:t>
      </w:r>
    </w:p>
    <w:p>
      <w:pPr>
        <w:ind w:left="4962"/>
        <w:rPr>
          <w:szCs w:val="26"/>
        </w:rPr>
      </w:pPr>
    </w:p>
    <w:tbl>
      <w:tblPr>
        <w:tblW w:w="5387" w:type="dxa"/>
        <w:tblInd w:w="4531" w:type="dxa"/>
        <w:tblLook w:val="04A0" w:firstRow="1" w:lastRow="0" w:firstColumn="1" w:lastColumn="0" w:noHBand="0" w:noVBand="1"/>
      </w:tblPr>
      <w:tblGrid>
        <w:gridCol w:w="5387"/>
      </w:tblGrid>
      <w:tr>
        <w:tc>
          <w:tcPr>
            <w:tcW w:w="5387" w:type="dxa"/>
            <w:tcBorders>
              <w:bottom w:val="single" w:color="000000" w:sz="4" w:space="0"/>
            </w:tcBorders>
          </w:tcPr>
          <w:p>
            <w:pPr>
              <w:rPr>
                <w:highlight w:val="white"/>
              </w:rPr>
            </w:pPr>
            <w:r>
              <w:rPr>
                <w:highlight w:val="white"/>
              </w:rPr>
              <w:t xml:space="preserve">В контрольное управление Новосибирской области</w:t>
            </w:r>
          </w:p>
        </w:tc>
      </w:tr>
      <w:tr>
        <w:tc>
          <w:tcPr>
            <w:tcW w:w="5387" w:type="dxa"/>
            <w:tcBorders>
              <w:top w:val="single" w:color="000000" w:sz="4" w:space="0"/>
            </w:tcBorders>
          </w:tcPr>
          <w:p>
            <w:pPr>
              <w:pStyle w:val="af0"/>
              <w:ind w:firstLine="0"/>
              <w:jc w:val="center"/>
              <w:rPr>
                <w:highlight w:val="white"/>
              </w:rPr>
            </w:pPr>
            <w:r>
              <w:rPr>
                <w:i/>
                <w:sz w:val="20"/>
                <w:szCs w:val="20"/>
                <w:highlight w:val="white"/>
              </w:rPr>
              <w:t xml:space="preserve">(Ф.И.О. заявителя)</w:t>
            </w:r>
          </w:p>
        </w:tc>
      </w:tr>
      <w:tr>
        <w:tc>
          <w:tcPr>
            <w:tcW w:w="5387" w:type="dxa"/>
            <w:tcBorders>
              <w:bottom w:val="single" w:color="000000" w:sz="4" w:space="0"/>
            </w:tcBorders>
          </w:tcPr>
          <w:p>
            <w:pPr>
              <w:rPr>
                <w:highlight w:val="white"/>
              </w:rPr>
            </w:pPr>
          </w:p>
        </w:tc>
      </w:tr>
      <w:tr>
        <w:tc>
          <w:tcPr>
            <w:tcW w:w="5387" w:type="dxa"/>
            <w:tcBorders>
              <w:top w:val="single" w:color="000000" w:sz="4" w:space="0"/>
            </w:tcBorders>
          </w:tcPr>
          <w:p>
            <w:pPr>
              <w:pStyle w:val="af0"/>
              <w:ind w:firstLine="0"/>
              <w:jc w:val="center"/>
            </w:pPr>
            <w:r>
              <w:rPr>
                <w:i/>
                <w:sz w:val="20"/>
                <w:szCs w:val="20"/>
                <w:highlight w:val="white"/>
              </w:rPr>
              <w:t xml:space="preserve">(наименование и реквизиты документа,</w:t>
            </w:r>
          </w:p>
          <w:p>
            <w:pPr>
              <w:jc w:val="center"/>
              <w:rPr>
                <w:bCs/>
                <w:i/>
                <w:sz w:val="20"/>
                <w:szCs w:val="20"/>
                <w:highlight w:val="white"/>
              </w:rPr>
            </w:pPr>
            <w:r>
              <w:rPr>
                <w:i/>
                <w:sz w:val="20"/>
                <w:szCs w:val="20"/>
                <w:highlight w:val="white"/>
              </w:rPr>
              <w:t xml:space="preserve">удостоверяющего личность заявителя, сведения о дате выдачи указанного документа и выдавшем его органе)</w:t>
            </w:r>
          </w:p>
        </w:tc>
      </w:tr>
    </w:tbl>
    <w:p>
      <w:pPr>
        <w:pStyle w:val="af0"/>
        <w:jc w:val="center"/>
      </w:pPr>
    </w:p>
    <w:p>
      <w:pPr>
        <w:spacing w:line="240" w:lineRule="auto"/>
        <w:ind w:firstLine="709"/>
        <w:rPr>
          <w:rFonts w:eastAsia="Times New Roman"/>
          <w:highlight w:val="white"/>
        </w:rPr>
      </w:pPr>
      <w:r>
        <w:rPr>
          <w:highlight w:val="white"/>
        </w:rPr>
        <w:t xml:space="preserve">Прошу подтвердить факт обработки контрольным управлением Новосибирской области моих персональных данных/персональных данных субъекта персональных данных, представителем которого я являюсь на основании (указать правовые основания, по которым от имени и в интересах субъекта персональных данных выступает заявитель) в соответствии с _____________________________________________________________                 (</w:t>
      </w:r>
      <w:r>
        <w:rPr>
          <w:sz w:val="20"/>
          <w:szCs w:val="20"/>
          <w:highlight w:val="white"/>
        </w:rPr>
        <w:t xml:space="preserve">указать </w:t>
      </w:r>
      <w:r>
        <w:rPr>
          <w:rFonts w:eastAsia="Times New Roman"/>
          <w:sz w:val="20"/>
          <w:szCs w:val="20"/>
          <w:highlight w:val="white"/>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Pr>
          <w:rFonts w:eastAsia="Times New Roman"/>
          <w:highlight w:val="white"/>
        </w:rPr>
        <w:t xml:space="preserve">), </w:t>
      </w:r>
    </w:p>
    <w:p>
      <w:pPr>
        <w:spacing w:line="240" w:lineRule="auto"/>
      </w:pPr>
      <w:r>
        <w:rPr>
          <w:rFonts w:eastAsia="Times New Roman"/>
          <w:highlight w:val="white"/>
        </w:rPr>
        <w:t xml:space="preserve">а также предоставить мне следующую информацию, касающуюся обработки персональных данных:</w:t>
      </w:r>
    </w:p>
    <w:p>
      <w:pPr>
        <w:spacing w:line="240" w:lineRule="auto"/>
        <w:ind w:firstLine="709"/>
      </w:pPr>
      <w:r>
        <w:rPr>
          <w:rFonts w:eastAsia="Times New Roman"/>
          <w:highlight w:val="white"/>
        </w:rPr>
        <w:t xml:space="preserve">с</w:t>
      </w:r>
      <w:r>
        <w:rPr>
          <w:highlight w:val="white"/>
        </w:rPr>
        <w:t xml:space="preserve">остав обрабатываемых персональных данных;</w:t>
      </w:r>
    </w:p>
    <w:p>
      <w:pPr>
        <w:spacing w:line="240" w:lineRule="auto"/>
        <w:ind w:firstLine="709"/>
      </w:pPr>
      <w:r>
        <w:rPr>
          <w:highlight w:val="white"/>
        </w:rPr>
        <w:t xml:space="preserve">основания, цели их обработки и источник получения такой информации;</w:t>
      </w:r>
    </w:p>
    <w:p>
      <w:pPr>
        <w:spacing w:line="240" w:lineRule="auto"/>
        <w:ind w:firstLine="709"/>
      </w:pPr>
      <w:r>
        <w:rPr>
          <w:highlight w:val="white"/>
        </w:rPr>
        <w:t xml:space="preserve">способы и сроки их обработки (в том числе сроки хранения);</w:t>
      </w:r>
    </w:p>
    <w:p>
      <w:pPr>
        <w:spacing w:line="240" w:lineRule="auto"/>
        <w:ind w:firstLine="709"/>
      </w:pPr>
      <w:r>
        <w:rPr>
          <w:highlight w:val="white"/>
        </w:rPr>
        <w:t xml:space="preserve">сведения о лицах, которые имеют к ней доступ (которым может быть предоставлен такой доступ) на основании договора с контрольным управлением Новосибирской области или на основании федерального закона;</w:t>
      </w:r>
    </w:p>
    <w:p>
      <w:pPr>
        <w:spacing w:line="240" w:lineRule="auto"/>
        <w:ind w:firstLine="709"/>
      </w:pPr>
      <w:r>
        <w:rPr>
          <w:highlight w:val="white"/>
        </w:rPr>
        <w:t xml:space="preserve">предоставить информацию об осуществленной или о предполагаемой трансграничной передаче данных;</w:t>
      </w:r>
    </w:p>
    <w:p>
      <w:pPr>
        <w:spacing w:line="240" w:lineRule="auto"/>
        <w:ind w:firstLine="709"/>
      </w:pPr>
      <w:r>
        <w:rPr>
          <w:highlight w:val="white"/>
        </w:rPr>
        <w:t xml:space="preserve">указать наименование или фамилию, имя, отчество и адрес лица, осуществляющего обработку персональных данных по поручению контрольного управления Новосибирской области, если обработка поручена или будет поручена такому лицу;</w:t>
      </w:r>
    </w:p>
    <w:p>
      <w:pPr>
        <w:spacing w:line="240" w:lineRule="auto"/>
        <w:ind w:firstLine="709"/>
      </w:pPr>
      <w:r>
        <w:rPr>
          <w:highlight w:val="white"/>
        </w:rPr>
        <w:t xml:space="preserve">предоставить сведения о том, какие юридические последствия может повлечь отзыв согласия на обработку персональных данных.</w:t>
      </w:r>
    </w:p>
    <w:p>
      <w:pPr>
        <w:pStyle w:val="af0"/>
        <w:rPr>
          <w:sz w:val="26"/>
          <w:szCs w:val="26"/>
        </w:rPr>
      </w:pPr>
      <w:r>
        <w:rPr>
          <w:sz w:val="26"/>
          <w:szCs w:val="26"/>
          <w:highlight w:val="white"/>
          <w:lang w:eastAsia="ru-RU"/>
        </w:rPr>
        <w:t xml:space="preserve">В случае отсутствия такой информации прошу Вас уведомить меня об этом.</w:t>
      </w:r>
    </w:p>
    <w:tbl>
      <w:tblPr>
        <w:tblW w:w="0" w:type="auto"/>
        <w:tblInd w:w="108" w:type="dxa"/>
        <w:tblLook w:val="04A0" w:firstRow="1" w:lastRow="0" w:firstColumn="1" w:lastColumn="0" w:noHBand="0" w:noVBand="1"/>
      </w:tblPr>
      <w:tblGrid>
        <w:gridCol w:w="2727"/>
        <w:gridCol w:w="673"/>
        <w:gridCol w:w="2178"/>
        <w:gridCol w:w="673"/>
        <w:gridCol w:w="3105"/>
      </w:tblGrid>
      <w:tr>
        <w:trPr>
          <w:cantSplit/>
        </w:trPr>
        <w:tc>
          <w:tcPr>
            <w:tcW w:w="2727" w:type="dxa"/>
            <w:vMerge w:val="restart"/>
          </w:tcPr>
          <w:p>
            <w:pPr>
              <w:jc w:val="right"/>
              <w:rPr>
                <w:highlight w:val="white"/>
              </w:rPr>
            </w:pPr>
          </w:p>
        </w:tc>
        <w:tc>
          <w:tcPr>
            <w:tcW w:w="673" w:type="dxa"/>
          </w:tcPr>
          <w:p>
            <w:pPr>
              <w:jc w:val="right"/>
              <w:rPr>
                <w:highlight w:val="white"/>
              </w:rPr>
            </w:pPr>
          </w:p>
        </w:tc>
        <w:tc>
          <w:tcPr>
            <w:tcW w:w="2178" w:type="dxa"/>
            <w:tcBorders>
              <w:bottom w:val="single" w:color="000000" w:sz="4" w:space="0"/>
            </w:tcBorders>
          </w:tcPr>
          <w:p>
            <w:pPr>
              <w:jc w:val="right"/>
              <w:rPr>
                <w:highlight w:val="white"/>
              </w:rPr>
            </w:pPr>
          </w:p>
        </w:tc>
        <w:tc>
          <w:tcPr>
            <w:tcW w:w="673" w:type="dxa"/>
          </w:tcPr>
          <w:p>
            <w:pPr>
              <w:jc w:val="right"/>
              <w:rPr>
                <w:highlight w:val="white"/>
              </w:rPr>
            </w:pPr>
          </w:p>
        </w:tc>
        <w:tc>
          <w:tcPr>
            <w:tcW w:w="3105" w:type="dxa"/>
            <w:tcBorders>
              <w:bottom w:val="single" w:color="000000" w:sz="4" w:space="0"/>
            </w:tcBorders>
          </w:tcPr>
          <w:p>
            <w:pPr>
              <w:jc w:val="right"/>
              <w:rPr>
                <w:highlight w:val="white"/>
              </w:rPr>
            </w:pPr>
          </w:p>
        </w:tc>
      </w:tr>
      <w:tr>
        <w:trPr>
          <w:cantSplit/>
        </w:trPr>
        <w:tc>
          <w:tcPr>
            <w:tcW w:w="2727" w:type="dxa"/>
            <w:vMerge w:val="continue"/>
          </w:tcPr>
          <w:p>
            <w:pPr>
              <w:jc w:val="right"/>
            </w:pPr>
          </w:p>
        </w:tc>
        <w:tc>
          <w:tcPr>
            <w:tcW w:w="673" w:type="dxa"/>
          </w:tcPr>
          <w:p>
            <w:pPr>
              <w:jc w:val="right"/>
              <w:rPr>
                <w:highlight w:val="white"/>
              </w:rPr>
            </w:pPr>
          </w:p>
        </w:tc>
        <w:tc>
          <w:tcPr>
            <w:tcW w:w="2178" w:type="dxa"/>
            <w:tcBorders>
              <w:top w:val="single" w:color="000000" w:sz="4" w:space="0"/>
            </w:tcBorders>
          </w:tcPr>
          <w:p>
            <w:pPr>
              <w:jc w:val="center"/>
              <w:rPr>
                <w:highlight w:val="white"/>
              </w:rPr>
            </w:pPr>
            <w:r>
              <w:rPr>
                <w:i/>
                <w:sz w:val="16"/>
                <w:szCs w:val="16"/>
                <w:highlight w:val="white"/>
              </w:rPr>
              <w:t xml:space="preserve">(</w:t>
            </w:r>
            <w:r>
              <w:rPr>
                <w:i/>
                <w:sz w:val="20"/>
                <w:szCs w:val="20"/>
                <w:highlight w:val="white"/>
              </w:rPr>
              <w:t xml:space="preserve">подпись</w:t>
            </w:r>
            <w:r>
              <w:rPr>
                <w:i/>
                <w:sz w:val="16"/>
                <w:szCs w:val="16"/>
                <w:highlight w:val="white"/>
              </w:rPr>
              <w:t xml:space="preserve">)</w:t>
            </w:r>
          </w:p>
        </w:tc>
        <w:tc>
          <w:tcPr>
            <w:tcW w:w="673" w:type="dxa"/>
          </w:tcPr>
          <w:p>
            <w:pPr>
              <w:jc w:val="center"/>
              <w:rPr>
                <w:highlight w:val="white"/>
              </w:rPr>
            </w:pPr>
          </w:p>
        </w:tc>
        <w:tc>
          <w:tcPr>
            <w:tcW w:w="3105" w:type="dxa"/>
            <w:tcBorders>
              <w:top w:val="single" w:color="000000" w:sz="4" w:space="0"/>
            </w:tcBorders>
          </w:tcPr>
          <w:p>
            <w:pPr>
              <w:jc w:val="center"/>
              <w:rPr>
                <w:highlight w:val="white"/>
              </w:rPr>
            </w:pPr>
            <w:r>
              <w:rPr>
                <w:i/>
                <w:sz w:val="20"/>
                <w:szCs w:val="20"/>
                <w:highlight w:val="white"/>
              </w:rPr>
              <w:t xml:space="preserve">(Ф.И.О.)</w:t>
            </w:r>
          </w:p>
        </w:tc>
      </w:tr>
    </w:tbl>
    <w:p>
      <w:pPr>
        <w:pStyle w:val="2"/>
        <w:numPr>
          <w:numId w:val="0"/>
          <w:ilvl w:val="0"/>
        </w:numPr>
      </w:pPr>
      <w:r>
        <w:rPr>
          <w:highlight w:val="white"/>
        </w:rPr>
        <w:t xml:space="preserve">«__</w:t>
      </w:r>
      <w:r>
        <w:rPr>
          <w:highlight w:val="white"/>
        </w:rPr>
        <w:t xml:space="preserve">_»_</w:t>
      </w:r>
      <w:r>
        <w:rPr>
          <w:highlight w:val="white"/>
        </w:rPr>
        <w:t xml:space="preserve">____________20___г.</w:t>
      </w:r>
    </w:p>
    <w:p>
      <w:pPr>
        <w:pStyle w:val="2"/>
        <w:numPr>
          <w:numId w:val="0"/>
          <w:ilvl w:val="0"/>
        </w:numPr>
      </w:pPr>
    </w:p>
    <w:sectPr>
      <w:headerReference w:type="default" r:id="rId9"/>
      <w:pgSz w:w="11906" w:h="16838"/>
      <w:pgMar w:top="1134" w:right="567" w:bottom="1134" w:left="1418" w:header="708" w:footer="708"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egoe UI">
    <w:panose1 w:val="020B0502040504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507335038"/>
      <w:docPartObj>
        <w:docPartGallery w:val="Page Numbers (Top of Page)"/>
        <w:docPartUnique w:val="true"/>
      </w:docPartObj>
    </w:sdtPr>
    <w:sdtContent>
      <w:p>
        <w:pPr>
          <w:pStyle w:val="af2"/>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rPr>
          <w:t xml:space="preserve">7</w:t>
        </w:r>
        <w:r>
          <w:rPr>
            <w:sz w:val="24"/>
            <w:szCs w:val="24"/>
          </w:rPr>
          <w:fldChar w:fldCharType="end"/>
        </w:r>
      </w:p>
    </w:sdtContent>
  </w:sdt>
  <w:p>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a"/>
    <w:lvl w:ilvl="0">
      <w:start w:val="1"/>
      <w:numFmt w:val="decimal"/>
      <w:suff w:val="space"/>
      <w:lvlText w:val="%1."/>
      <w:lvlJc w:val="left"/>
      <w:pPr>
        <w:ind w:left="709" w:firstLine="0"/>
      </w:pPr>
      <w:rPr>
        <w:rFonts w:hint="default"/>
      </w:rPr>
    </w:lvl>
    <w:lvl w:ilvl="1">
      <w:start w:val="1"/>
      <w:numFmt w:val="decimal"/>
      <w:isLgl/>
      <w:suff w:val="space"/>
      <w:lvlText w:val="%1.%2."/>
      <w:lvlJc w:val="left"/>
      <w:pPr>
        <w:ind w:left="0" w:firstLine="709"/>
      </w:pPr>
      <w:rPr>
        <w:rFonts w:hint="default"/>
        <w:u w:val="none"/>
      </w:rPr>
    </w:lvl>
    <w:lvl w:ilvl="2">
      <w:start w:val="1"/>
      <w:numFmt w:val="decimal"/>
      <w:isLgl/>
      <w:suff w:val="space"/>
      <w:lvlText w:val="%1.%2.%3."/>
      <w:lvlJc w:val="left"/>
      <w:pPr>
        <w:ind w:left="709" w:firstLine="709"/>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
    <w:multiLevelType w:val="hybridMultilevel"/>
    <w:lvl w:ilvl="0">
      <w:start w:val="1"/>
      <w:numFmt w:val="decimal"/>
      <w:pStyle w:val="1"/>
      <w:suff w:val="space"/>
      <w:lvlText w:val="%1."/>
      <w:lvlJc w:val="left"/>
      <w:pPr>
        <w:ind w:left="0" w:firstLine="709"/>
      </w:pPr>
      <w:rPr>
        <w:rFonts w:hint="default"/>
      </w:rPr>
    </w:lvl>
    <w:lvl w:ilvl="1">
      <w:start w:val="1"/>
      <w:numFmt w:val="decimal"/>
      <w:pStyle w:val="2"/>
      <w:isLgl/>
      <w:suff w:val="space"/>
      <w:lvlText w:val="%1.%2."/>
      <w:lvlJc w:val="left"/>
      <w:pPr>
        <w:ind w:left="0" w:firstLine="709"/>
      </w:pPr>
      <w:rPr>
        <w:rFonts w:hint="default"/>
        <w:b w:val="0"/>
        <w:u w:val="none"/>
      </w:rPr>
    </w:lvl>
    <w:lvl w:ilvl="2">
      <w:start w:val="1"/>
      <w:numFmt w:val="decimal"/>
      <w:pStyle w:val="3"/>
      <w:isLgl/>
      <w:suff w:val="space"/>
      <w:lvlText w:val="%1.%2.%3"/>
      <w:lvlJc w:val="left"/>
      <w:pPr>
        <w:ind w:left="0" w:firstLine="709"/>
      </w:pPr>
      <w:rPr>
        <w:rFonts w:hint="default" w:cs="Times New Roman"/>
        <w:b w:val="0"/>
        <w:bCs w:val="0"/>
        <w:i w:val="0"/>
        <w:iCs w:val="0"/>
        <w:caps w:val="0"/>
        <w:strike w:val="0"/>
        <w:vanish w:val="0"/>
        <w:spacing w:val="0"/>
        <w:position w:val="0"/>
        <w:u w:val="none"/>
        <w:vertAlign w:val="baseline"/>
        <w14:ligatures w14:val="none"/>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
    <w:multiLevelType w:val="hybridMultilevel"/>
    <w:lvl w:ilvl="0" w:tplc="C8723B94">
      <w:start w:val="1"/>
      <w:numFmt w:val="upperRoman"/>
      <w:lvlText w:val="%1."/>
      <w:lvlJc w:val="right"/>
      <w:pPr>
        <w:ind w:left="709" w:hanging="360"/>
      </w:pPr>
    </w:lvl>
    <w:lvl w:ilvl="1" w:tplc="EE3C0360">
      <w:start w:val="1"/>
      <w:numFmt w:val="lowerLetter"/>
      <w:lvlText w:val="%2."/>
      <w:lvlJc w:val="left"/>
      <w:pPr>
        <w:ind w:left="1429" w:hanging="360"/>
      </w:pPr>
    </w:lvl>
    <w:lvl w:ilvl="2" w:tplc="EE5E52E0">
      <w:start w:val="1"/>
      <w:numFmt w:val="lowerRoman"/>
      <w:lvlText w:val="%3."/>
      <w:lvlJc w:val="right"/>
      <w:pPr>
        <w:ind w:left="2149" w:hanging="180"/>
      </w:pPr>
    </w:lvl>
    <w:lvl w:ilvl="3" w:tplc="BC7EE8F8">
      <w:start w:val="1"/>
      <w:numFmt w:val="decimal"/>
      <w:lvlText w:val="%4."/>
      <w:lvlJc w:val="left"/>
      <w:pPr>
        <w:ind w:left="2869" w:hanging="360"/>
      </w:pPr>
    </w:lvl>
    <w:lvl w:ilvl="4" w:tplc="1E3A08BC">
      <w:start w:val="1"/>
      <w:numFmt w:val="lowerLetter"/>
      <w:lvlText w:val="%5."/>
      <w:lvlJc w:val="left"/>
      <w:pPr>
        <w:ind w:left="3589" w:hanging="360"/>
      </w:pPr>
    </w:lvl>
    <w:lvl w:ilvl="5" w:tplc="92323210">
      <w:start w:val="1"/>
      <w:numFmt w:val="lowerRoman"/>
      <w:lvlText w:val="%6."/>
      <w:lvlJc w:val="right"/>
      <w:pPr>
        <w:ind w:left="4309" w:hanging="180"/>
      </w:pPr>
    </w:lvl>
    <w:lvl w:ilvl="6" w:tplc="D8028152">
      <w:start w:val="1"/>
      <w:numFmt w:val="decimal"/>
      <w:lvlText w:val="%7."/>
      <w:lvlJc w:val="left"/>
      <w:pPr>
        <w:ind w:left="5029" w:hanging="360"/>
      </w:pPr>
    </w:lvl>
    <w:lvl w:ilvl="7" w:tplc="ADFE5B28">
      <w:start w:val="1"/>
      <w:numFmt w:val="lowerLetter"/>
      <w:lvlText w:val="%8."/>
      <w:lvlJc w:val="left"/>
      <w:pPr>
        <w:ind w:left="5749" w:hanging="360"/>
      </w:pPr>
    </w:lvl>
    <w:lvl w:ilvl="8" w:tplc="A080EAD2">
      <w:start w:val="1"/>
      <w:numFmt w:val="lowerRoman"/>
      <w:lvlText w:val="%9."/>
      <w:lvlJc w:val="right"/>
      <w:pPr>
        <w:ind w:left="6469" w:hanging="180"/>
      </w:pPr>
    </w:lvl>
  </w:abstractNum>
  <w:abstractNum w:abstractNumId="3">
    <w:multiLevelType w:val="hybridMultilevel"/>
    <w:lvl w:ilvl="0" w:tplc="6108F4FA">
      <w:start w:val="1"/>
      <w:numFmt w:val="upperRoman"/>
      <w:lvlText w:val="%1."/>
      <w:lvlJc w:val="right"/>
      <w:pPr>
        <w:ind w:left="709" w:hanging="360"/>
      </w:pPr>
      <w:rPr>
        <w:rFonts w:ascii="Times New Roman" w:hAnsi="Times New Roman" w:eastAsia="Times New Roman" w:cs="Times New Roman"/>
        <w:b/>
        <w:sz w:val="28"/>
      </w:rPr>
    </w:lvl>
    <w:lvl w:ilvl="1" w:tplc="D2A8F6AC">
      <w:start w:val="1"/>
      <w:numFmt w:val="lowerLetter"/>
      <w:lvlText w:val="%2."/>
      <w:lvlJc w:val="left"/>
      <w:pPr>
        <w:ind w:left="1429" w:hanging="360"/>
      </w:pPr>
    </w:lvl>
    <w:lvl w:ilvl="2" w:tplc="E704005C">
      <w:start w:val="1"/>
      <w:numFmt w:val="lowerRoman"/>
      <w:lvlText w:val="%3."/>
      <w:lvlJc w:val="right"/>
      <w:pPr>
        <w:ind w:left="2149" w:hanging="180"/>
      </w:pPr>
    </w:lvl>
    <w:lvl w:ilvl="3" w:tplc="0B2AAD16">
      <w:start w:val="1"/>
      <w:numFmt w:val="decimal"/>
      <w:lvlText w:val="%4."/>
      <w:lvlJc w:val="left"/>
      <w:pPr>
        <w:ind w:left="2869" w:hanging="360"/>
      </w:pPr>
    </w:lvl>
    <w:lvl w:ilvl="4" w:tplc="C478BA1A">
      <w:start w:val="1"/>
      <w:numFmt w:val="lowerLetter"/>
      <w:lvlText w:val="%5."/>
      <w:lvlJc w:val="left"/>
      <w:pPr>
        <w:ind w:left="3589" w:hanging="360"/>
      </w:pPr>
    </w:lvl>
    <w:lvl w:ilvl="5" w:tplc="09A0B95A">
      <w:start w:val="1"/>
      <w:numFmt w:val="lowerRoman"/>
      <w:lvlText w:val="%6."/>
      <w:lvlJc w:val="right"/>
      <w:pPr>
        <w:ind w:left="4309" w:hanging="180"/>
      </w:pPr>
    </w:lvl>
    <w:lvl w:ilvl="6" w:tplc="3E105AEA">
      <w:start w:val="1"/>
      <w:numFmt w:val="decimal"/>
      <w:lvlText w:val="%7."/>
      <w:lvlJc w:val="left"/>
      <w:pPr>
        <w:ind w:left="5029" w:hanging="360"/>
      </w:pPr>
    </w:lvl>
    <w:lvl w:ilvl="7" w:tplc="5A2CD1FA">
      <w:start w:val="1"/>
      <w:numFmt w:val="lowerLetter"/>
      <w:lvlText w:val="%8."/>
      <w:lvlJc w:val="left"/>
      <w:pPr>
        <w:ind w:left="5749" w:hanging="360"/>
      </w:pPr>
    </w:lvl>
    <w:lvl w:ilvl="8" w:tplc="F0987C5A">
      <w:start w:val="1"/>
      <w:numFmt w:val="lowerRoman"/>
      <w:lvlText w:val="%9."/>
      <w:lvlJc w:val="right"/>
      <w:pPr>
        <w:ind w:left="6469" w:hanging="180"/>
      </w:pPr>
    </w:lvl>
  </w:abstractNum>
  <w:abstractNum w:abstractNumId="4">
    <w:multiLevelType w:val="hybridMultilevel"/>
    <w:styleLink w:val="a0"/>
    <w:lvl w:ilvl="0" w:tplc="EAB817FA">
      <w:start w:val="1"/>
      <w:numFmt w:val="bullet"/>
      <w:pStyle w:val="a1"/>
      <w:suff w:val="space"/>
      <w:lvlText w:val="–"/>
      <w:lvlJc w:val="left"/>
      <w:pPr>
        <w:ind w:left="0" w:firstLine="708"/>
      </w:pPr>
      <w:rPr>
        <w:rFonts w:hint="default" w:ascii="Times New Roman" w:hAnsi="Times New Roman" w:cs="Times New Roman"/>
      </w:rPr>
    </w:lvl>
    <w:lvl w:ilvl="1" w:tplc="10F4A7BA">
      <w:start w:val="1"/>
      <w:numFmt w:val="bullet"/>
      <w:lvlText w:val="o"/>
      <w:lvlJc w:val="left"/>
      <w:pPr>
        <w:ind w:left="1440" w:hanging="360"/>
      </w:pPr>
      <w:rPr>
        <w:rFonts w:hint="default" w:ascii="Courier New" w:hAnsi="Courier New" w:cs="Courier New"/>
      </w:rPr>
    </w:lvl>
    <w:lvl w:ilvl="2" w:tplc="0BDE8B94">
      <w:start w:val="1"/>
      <w:numFmt w:val="bullet"/>
      <w:lvlText w:val=""/>
      <w:lvlJc w:val="left"/>
      <w:pPr>
        <w:ind w:left="2160" w:hanging="360"/>
      </w:pPr>
      <w:rPr>
        <w:rFonts w:hint="default" w:ascii="Wingdings" w:hAnsi="Wingdings"/>
      </w:rPr>
    </w:lvl>
    <w:lvl w:ilvl="3" w:tplc="4348AB76">
      <w:start w:val="1"/>
      <w:numFmt w:val="bullet"/>
      <w:lvlText w:val=""/>
      <w:lvlJc w:val="left"/>
      <w:pPr>
        <w:ind w:left="2880" w:hanging="360"/>
      </w:pPr>
      <w:rPr>
        <w:rFonts w:hint="default" w:ascii="Symbol" w:hAnsi="Symbol"/>
      </w:rPr>
    </w:lvl>
    <w:lvl w:ilvl="4" w:tplc="3A787C06">
      <w:start w:val="1"/>
      <w:numFmt w:val="bullet"/>
      <w:lvlText w:val="o"/>
      <w:lvlJc w:val="left"/>
      <w:pPr>
        <w:ind w:left="3600" w:hanging="360"/>
      </w:pPr>
      <w:rPr>
        <w:rFonts w:hint="default" w:ascii="Courier New" w:hAnsi="Courier New" w:cs="Courier New"/>
      </w:rPr>
    </w:lvl>
    <w:lvl w:ilvl="5" w:tplc="7902D760">
      <w:start w:val="1"/>
      <w:numFmt w:val="bullet"/>
      <w:lvlText w:val=""/>
      <w:lvlJc w:val="left"/>
      <w:pPr>
        <w:ind w:left="4320" w:hanging="360"/>
      </w:pPr>
      <w:rPr>
        <w:rFonts w:hint="default" w:ascii="Wingdings" w:hAnsi="Wingdings"/>
      </w:rPr>
    </w:lvl>
    <w:lvl w:ilvl="6" w:tplc="3A8672E8">
      <w:start w:val="1"/>
      <w:numFmt w:val="bullet"/>
      <w:lvlText w:val=""/>
      <w:lvlJc w:val="left"/>
      <w:pPr>
        <w:ind w:left="5040" w:hanging="360"/>
      </w:pPr>
      <w:rPr>
        <w:rFonts w:hint="default" w:ascii="Symbol" w:hAnsi="Symbol"/>
      </w:rPr>
    </w:lvl>
    <w:lvl w:ilvl="7" w:tplc="9FC27F4A">
      <w:start w:val="1"/>
      <w:numFmt w:val="bullet"/>
      <w:lvlText w:val="o"/>
      <w:lvlJc w:val="left"/>
      <w:pPr>
        <w:ind w:left="5760" w:hanging="360"/>
      </w:pPr>
      <w:rPr>
        <w:rFonts w:hint="default" w:ascii="Courier New" w:hAnsi="Courier New" w:cs="Courier New"/>
      </w:rPr>
    </w:lvl>
    <w:lvl w:ilvl="8" w:tplc="D54690A0">
      <w:start w:val="1"/>
      <w:numFmt w:val="bullet"/>
      <w:lvlText w:val=""/>
      <w:lvlJc w:val="left"/>
      <w:pPr>
        <w:ind w:left="6480" w:hanging="360"/>
      </w:pPr>
      <w:rPr>
        <w:rFonts w:hint="default" w:ascii="Wingdings" w:hAnsi="Wingdings"/>
      </w:rPr>
    </w:lvl>
  </w:abstractNum>
  <w:abstractNum w:abstractNumId="5">
    <w:multiLevelType w:val="hybridMultilevel"/>
    <w:lvl w:ilvl="0">
      <w:start w:val="1"/>
      <w:numFmt w:val="decimal"/>
      <w:suff w:val="space"/>
      <w:lvlText w:val="%1."/>
      <w:lvlJc w:val="left"/>
      <w:pPr>
        <w:ind w:left="709" w:firstLine="0"/>
      </w:pPr>
      <w:rPr>
        <w:rFonts w:hint="default"/>
      </w:rPr>
    </w:lvl>
    <w:lvl w:ilvl="1">
      <w:start w:val="1"/>
      <w:numFmt w:val="decimal"/>
      <w:isLgl/>
      <w:suff w:val="space"/>
      <w:lvlText w:val="%1.%2."/>
      <w:lvlJc w:val="left"/>
      <w:pPr>
        <w:ind w:left="0" w:firstLine="709"/>
      </w:pPr>
      <w:rPr>
        <w:rFonts w:hint="default"/>
        <w:u w:val="none"/>
      </w:rPr>
    </w:lvl>
    <w:lvl w:ilvl="2">
      <w:start w:val="1"/>
      <w:numFmt w:val="decimal"/>
      <w:isLgl/>
      <w:suff w:val="space"/>
      <w:lvlText w:val="%1.%2.%3."/>
      <w:lvlJc w:val="left"/>
      <w:pPr>
        <w:ind w:left="709" w:firstLine="709"/>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
    <w:multiLevelType w:val="hybridMultilevel"/>
    <w:lvl w:ilvl="0">
      <w:start w:val="1"/>
      <w:numFmt w:val="decimal"/>
      <w:lvlText w:val="%1."/>
      <w:lvlJc w:val="left"/>
      <w:pPr>
        <w:tabs>
          <w:tab w:val="num" w:pos="714"/>
        </w:tabs>
        <w:ind w:left="714" w:hanging="714"/>
      </w:pPr>
      <w:rPr>
        <w:rFonts w:hint="default"/>
      </w:rPr>
    </w:lvl>
    <w:lvl w:ilvl="1">
      <w:start w:val="1"/>
      <w:numFmt w:val="bullet"/>
      <w:lvlText w:val="−"/>
      <w:lvlJc w:val="left"/>
      <w:pPr>
        <w:tabs>
          <w:tab w:val="num" w:pos="1282"/>
        </w:tabs>
        <w:ind w:left="1282" w:hanging="714"/>
      </w:pPr>
      <w:rPr>
        <w:rFonts w:hint="default" w:ascii="Times New Roman" w:hAnsi="Times New Roman" w:cs="Times New Roman"/>
        <w:b w:val="0"/>
        <w:bCs w:val="0"/>
        <w:i w:val="0"/>
        <w:iCs w:val="0"/>
        <w:caps w:val="0"/>
        <w:smallCaps w:val="0"/>
        <w:strike w:val="0"/>
        <w:vanish w:val="0"/>
        <w:spacing w:val="0"/>
        <w:position w:val="0"/>
        <w:sz w:val="24"/>
        <w:szCs w:val="24"/>
        <w:u w:val="none"/>
        <w:vertAlign w:val="baseline"/>
        <w14:textOutline w14:w="0" w14:cap="rnd" w14:cmpd="sng" w14:algn="ctr">
          <w14:noFill/>
          <w14:prstDash w14:val="solid"/>
          <w14:bevel/>
        </w14:textOutline>
        <w14:ligatures w14:val="none"/>
      </w:rPr>
    </w:lvl>
    <w:lvl w:ilvl="2">
      <w:start w:val="1"/>
      <w:numFmt w:val="decimal"/>
      <w:lvlText w:val="%1.%2.%3."/>
      <w:lvlJc w:val="left"/>
      <w:pPr>
        <w:tabs>
          <w:tab w:val="num" w:pos="714"/>
        </w:tabs>
        <w:ind w:left="714" w:hanging="714"/>
      </w:pPr>
      <w:rPr>
        <w:rFonts w:hint="default"/>
        <w:i w:val="0"/>
      </w:rPr>
    </w:lvl>
    <w:lvl w:ilvl="3">
      <w:start w:val="1"/>
      <w:numFmt w:val="decimal"/>
      <w:lvlText w:val="%1.%2.%3.%4."/>
      <w:lvlJc w:val="left"/>
      <w:pPr>
        <w:tabs>
          <w:tab w:val="num" w:pos="1072"/>
        </w:tabs>
        <w:ind w:left="1072" w:hanging="1072"/>
      </w:pPr>
      <w:rPr>
        <w:rFonts w:hint="default"/>
      </w:rPr>
    </w:lvl>
    <w:lvl w:ilvl="4">
      <w:start w:val="1"/>
      <w:numFmt w:val="decimal"/>
      <w:lvlText w:val="%1.%2.%3.%4.%5."/>
      <w:lvlJc w:val="left"/>
      <w:pPr>
        <w:tabs>
          <w:tab w:val="num" w:pos="1072"/>
        </w:tabs>
        <w:ind w:left="1072" w:hanging="1072"/>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num w:numId="1">
    <w:abstractNumId w:val="4"/>
  </w:num>
  <w:num w:numId="2">
    <w:abstractNumId w:val="1"/>
  </w:num>
  <w:num w:numId="3">
    <w:abstractNumId w:val="6"/>
  </w:num>
  <w:num w:numId="4">
    <w:abstractNumId w:val="3"/>
  </w:num>
  <w:num w:numId="5">
    <w:abstractNumId w:val="0"/>
  </w:num>
  <w:num w:numId="6">
    <w:abstractNumId w:val="5"/>
    <w:lvlOverride w:ilvl="1">
      <w:lvl w:ilvl="1">
        <w:start w:val="1"/>
        <w:numFmt w:val="decimal"/>
        <w:isLgl/>
        <w:suff w:val="space"/>
        <w:lvlText w:val="%1.%2."/>
        <w:lvlJc w:val="left"/>
        <w:pPr>
          <w:ind w:left="709" w:firstLine="709"/>
        </w:pPr>
        <w:rPr>
          <w:rFonts w:ascii="Times New Roman" w:hAnsi="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2" w:default="1">
    <w:name w:val="Normal"/>
    <w:qFormat/>
    <w:pPr>
      <w:spacing w:after="0" w:line="276" w:lineRule="auto"/>
      <w:jc w:val="both"/>
    </w:pPr>
    <w:rPr>
      <w:rFonts w:ascii="Times New Roman" w:hAnsi="Times New Roman" w:eastAsia="Calibri" w:cs="Times New Roman"/>
      <w:sz w:val="26"/>
      <w:szCs w:val="28"/>
      <w:lang w:eastAsia="ru-RU"/>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left w:w="108" w:type="dxa"/>
        <w:top w:w="0" w:type="dxa"/>
        <w:right w:w="108" w:type="dxa"/>
        <w:bottom w:w="0" w:type="dxa"/>
      </w:tblCellMar>
    </w:tblPr>
  </w:style>
  <w:style w:type="numbering" w:styleId="a5"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ConsPlusTitle" w:customStyle="1">
    <w:name w:val="ConsPlusTitle"/>
    <w:pPr>
      <w:widowControl w:val="off"/>
      <w:spacing w:after="0" w:line="240" w:lineRule="auto"/>
    </w:pPr>
    <w:rPr>
      <w:rFonts w:ascii="Calibri" w:hAnsi="Calibri" w:cs="Calibri" w:eastAsiaTheme="minorEastAsia"/>
      <w:b/>
      <w:lang w:eastAsia="ru-RU"/>
    </w:rPr>
  </w:style>
  <w:style w:type="paragraph" w:styleId="a6">
    <w:name w:val="Balloon Text"/>
    <w:basedOn w:val="a2"/>
    <w:link w:val="a7"/>
    <w:uiPriority w:val="99"/>
    <w:semiHidden/>
    <w:unhideWhenUsed/>
    <w:pPr>
      <w:spacing w:line="240" w:lineRule="auto"/>
    </w:pPr>
    <w:rPr>
      <w:rFonts w:ascii="Segoe UI" w:hAnsi="Segoe UI" w:cs="Segoe UI"/>
      <w:sz w:val="18"/>
      <w:szCs w:val="18"/>
    </w:rPr>
  </w:style>
  <w:style w:type="character" w:styleId="a7" w:customStyle="1">
    <w:name w:val="Текст выноски Знак"/>
    <w:basedOn w:val="a3"/>
    <w:link w:val="a6"/>
    <w:uiPriority w:val="99"/>
    <w:semiHidden/>
    <w:rPr>
      <w:rFonts w:ascii="Segoe UI" w:hAnsi="Segoe UI" w:cs="Segoe UI"/>
      <w:sz w:val="18"/>
      <w:szCs w:val="18"/>
    </w:rPr>
  </w:style>
  <w:style w:type="paragraph" w:styleId="a8">
    <w:name w:val="List Paragraph"/>
    <w:basedOn w:val="a2"/>
    <w:link w:val="a9"/>
    <w:uiPriority w:val="34"/>
    <w:qFormat/>
    <w:pPr>
      <w:ind w:left="708"/>
    </w:pPr>
  </w:style>
  <w:style w:type="character" w:styleId="a9" w:customStyle="1">
    <w:name w:val="Абзац списка Знак"/>
    <w:basedOn w:val="a3"/>
    <w:link w:val="a8"/>
    <w:uiPriority w:val="34"/>
    <w:rPr>
      <w:rFonts w:ascii="Times New Roman" w:hAnsi="Times New Roman" w:eastAsia="Calibri" w:cs="Times New Roman"/>
      <w:sz w:val="26"/>
      <w:szCs w:val="28"/>
      <w:lang w:eastAsia="ru-RU"/>
    </w:rPr>
  </w:style>
  <w:style w:type="paragraph" w:styleId="a1" w:customStyle="1">
    <w:name w:val="Большой список маркированный"/>
    <w:basedOn w:val="a2"/>
    <w:qFormat/>
    <w:pPr>
      <w:widowControl w:val="off"/>
      <w:numPr>
        <w:numId w:val="1"/>
      </w:numPr>
      <w:spacing w:line="240" w:lineRule="auto"/>
    </w:pPr>
    <w:rPr>
      <w:rFonts w:eastAsiaTheme="minorHAnsi"/>
      <w:lang w:eastAsia="en-US"/>
    </w:rPr>
  </w:style>
  <w:style w:type="paragraph" w:styleId="1" w:customStyle="1">
    <w:name w:val="Большой список уровень 1"/>
    <w:basedOn w:val="a2"/>
    <w:next w:val="a2"/>
    <w:qFormat/>
    <w:pPr>
      <w:keepNext/>
      <w:numPr>
        <w:numId w:val="2"/>
      </w:numPr>
      <w:spacing w:before="360"/>
      <w:jc w:val="center"/>
    </w:pPr>
    <w:rPr>
      <w:rFonts w:eastAsia="Times New Roman"/>
      <w:b/>
      <w:bCs/>
      <w:caps/>
    </w:rPr>
  </w:style>
  <w:style w:type="paragraph" w:styleId="2" w:customStyle="1">
    <w:name w:val="Большой список уровень 2"/>
    <w:basedOn w:val="a2"/>
    <w:link w:val="20"/>
    <w:qFormat/>
    <w:pPr>
      <w:numPr>
        <w:numId w:val="2"/>
        <w:ilvl w:val="1"/>
      </w:numPr>
      <w:tabs>
        <w:tab w:val="left" w:pos="1276"/>
      </w:tabs>
      <w:spacing w:line="240" w:lineRule="auto"/>
    </w:pPr>
    <w:rPr>
      <w:rFonts w:eastAsiaTheme="minorHAnsi"/>
      <w:lang w:eastAsia="en-US"/>
    </w:rPr>
  </w:style>
  <w:style w:type="character" w:styleId="20" w:customStyle="1">
    <w:name w:val="Большой список уровень 2 Знак"/>
    <w:basedOn w:val="a3"/>
    <w:link w:val="2"/>
    <w:rPr>
      <w:rFonts w:ascii="Times New Roman" w:hAnsi="Times New Roman" w:cs="Times New Roman"/>
      <w:sz w:val="26"/>
      <w:szCs w:val="28"/>
    </w:rPr>
  </w:style>
  <w:style w:type="paragraph" w:styleId="3" w:customStyle="1">
    <w:name w:val="Большой список уровень 3"/>
    <w:basedOn w:val="a2"/>
    <w:qFormat/>
    <w:pPr>
      <w:numPr>
        <w:numId w:val="2"/>
        <w:ilvl w:val="2"/>
      </w:numPr>
      <w:spacing w:line="240" w:lineRule="auto"/>
    </w:pPr>
    <w:rPr>
      <w:rFonts w:eastAsiaTheme="minorHAnsi" w:cstheme="minorBidi"/>
      <w:lang w:eastAsia="en-US"/>
    </w:rPr>
  </w:style>
  <w:style w:type="paragraph" w:styleId="aa" w:customStyle="1">
    <w:name w:val="Заголовки приложений"/>
    <w:basedOn w:val="a2"/>
    <w:qFormat/>
    <w:pPr>
      <w:spacing w:line="240" w:lineRule="auto"/>
      <w:jc w:val="center"/>
    </w:pPr>
    <w:rPr>
      <w:rFonts w:eastAsiaTheme="minorHAnsi" w:cstheme="minorBidi"/>
      <w:b/>
      <w:lang w:eastAsia="en-US"/>
    </w:rPr>
  </w:style>
  <w:style w:type="character" w:styleId="ab" w:customStyle="1">
    <w:name w:val="Слово утверждения документа"/>
    <w:basedOn w:val="a3"/>
    <w:uiPriority w:val="1"/>
    <w:qFormat/>
    <w:rPr>
      <w:b w:val="0"/>
      <w:caps/>
    </w:rPr>
  </w:style>
  <w:style w:type="numbering" w:styleId="a0" w:customStyle="1">
    <w:name w:val="Список с маркерами"/>
    <w:uiPriority w:val="99"/>
    <w:pPr>
      <w:numPr>
        <w:numId w:val="1"/>
      </w:numPr>
    </w:pPr>
  </w:style>
  <w:style w:type="character" w:styleId="ac" w:customStyle="1">
    <w:name w:val="Тело утверждения документа"/>
    <w:basedOn w:val="a3"/>
    <w:uiPriority w:val="1"/>
    <w:qFormat/>
    <w:rPr>
      <w:b w:val="0"/>
    </w:rPr>
  </w:style>
  <w:style w:type="paragraph" w:styleId="ad" w:customStyle="1">
    <w:name w:val="Утверждение документа"/>
    <w:basedOn w:val="a2"/>
    <w:link w:val="ae"/>
    <w:qFormat/>
    <w:pPr>
      <w:jc w:val="right"/>
    </w:pPr>
    <w:rPr>
      <w:rFonts w:eastAsia="Times New Roman"/>
    </w:rPr>
  </w:style>
  <w:style w:type="character" w:styleId="ae" w:customStyle="1">
    <w:name w:val="Утверждение документа Знак"/>
    <w:basedOn w:val="a3"/>
    <w:link w:val="ad"/>
    <w:rPr>
      <w:rFonts w:ascii="Times New Roman" w:hAnsi="Times New Roman" w:eastAsia="Times New Roman" w:cs="Times New Roman"/>
      <w:sz w:val="26"/>
      <w:szCs w:val="28"/>
      <w:lang w:eastAsia="ru-RU"/>
    </w:rPr>
  </w:style>
  <w:style w:type="paragraph" w:styleId="4" w:customStyle="1">
    <w:name w:val="Большой список уровень 4"/>
    <w:basedOn w:val="3"/>
    <w:qFormat/>
    <w:pPr>
      <w:numPr>
        <w:numId w:val="0"/>
        <w:ilvl w:val="0"/>
      </w:numPr>
      <w:spacing w:line="276" w:lineRule="auto"/>
      <w:ind w:left="2007" w:hanging="360"/>
    </w:pPr>
  </w:style>
  <w:style w:type="numbering" w:styleId="a" w:customStyle="1">
    <w:name w:val="Большой список"/>
    <w:uiPriority w:val="99"/>
    <w:pPr>
      <w:numPr>
        <w:numId w:val="5"/>
      </w:numPr>
    </w:pPr>
  </w:style>
  <w:style w:type="paragraph" w:styleId="af" w:customStyle="1">
    <w:name w:val="Название таблицы"/>
    <w:basedOn w:val="a2"/>
    <w:pPr>
      <w:jc w:val="center"/>
    </w:pPr>
    <w:rPr>
      <w:rFonts w:eastAsia="Times New Roman"/>
      <w:b/>
      <w:bCs/>
      <w:szCs w:val="20"/>
      <w:lang w:eastAsia="en-US"/>
    </w:rPr>
  </w:style>
  <w:style w:type="paragraph" w:styleId="af0" w:customStyle="1">
    <w:name w:val="обычный текст"/>
    <w:basedOn w:val="a2"/>
    <w:link w:val="af1"/>
    <w:qFormat/>
    <w:pPr>
      <w:spacing w:line="240" w:lineRule="auto"/>
      <w:ind w:firstLine="709"/>
    </w:pPr>
    <w:rPr>
      <w:sz w:val="24"/>
      <w:szCs w:val="24"/>
      <w:lang w:eastAsia="en-US"/>
    </w:rPr>
  </w:style>
  <w:style w:type="character" w:styleId="af1" w:customStyle="1">
    <w:name w:val="обычный текст Знак"/>
    <w:basedOn w:val="a3"/>
    <w:link w:val="af0"/>
    <w:rPr>
      <w:rFonts w:ascii="Times New Roman" w:hAnsi="Times New Roman" w:eastAsia="Calibri" w:cs="Times New Roman"/>
      <w:sz w:val="24"/>
      <w:szCs w:val="24"/>
    </w:rPr>
  </w:style>
  <w:style w:type="paragraph" w:styleId="10" w:customStyle="1">
    <w:name w:val="Заголовок1"/>
    <w:uiPriority w:val="10"/>
    <w:qFormat/>
    <w:pPr>
      <w:pBdr>
        <w:top w:val="none" w:color="000000" w:sz="4" w:space="0"/>
        <w:left w:val="none" w:color="000000" w:sz="4" w:space="0"/>
        <w:bottom w:val="none" w:color="000000" w:sz="4" w:space="0"/>
        <w:right w:val="none" w:color="000000" w:sz="4" w:space="0"/>
        <w:between w:val="none" w:color="000000" w:sz="4" w:space="0"/>
      </w:pBdr>
      <w:spacing w:before="480" w:after="480" w:line="240" w:lineRule="auto"/>
      <w:jc w:val="center"/>
      <w:outlineLvl w:val="0"/>
    </w:pPr>
    <w:rPr>
      <w:rFonts w:ascii="Times New Roman" w:hAnsi="Times New Roman" w:eastAsia="Times New Roman" w:cs="Times New Roman"/>
      <w:b/>
      <w:bCs/>
      <w:sz w:val="24"/>
      <w:szCs w:val="24"/>
      <w:lang w:eastAsia="ru-RU"/>
    </w:rPr>
  </w:style>
  <w:style w:type="paragraph" w:styleId="af2">
    <w:name w:val="header"/>
    <w:basedOn w:val="a2"/>
    <w:link w:val="af3"/>
    <w:uiPriority w:val="99"/>
    <w:unhideWhenUsed/>
    <w:pPr>
      <w:tabs>
        <w:tab w:val="center" w:pos="4677"/>
        <w:tab w:val="right" w:pos="9355"/>
      </w:tabs>
      <w:spacing w:line="240" w:lineRule="auto"/>
    </w:pPr>
  </w:style>
  <w:style w:type="character" w:styleId="af3" w:customStyle="1">
    <w:name w:val="Верхний колонтитул Знак"/>
    <w:basedOn w:val="a3"/>
    <w:link w:val="af2"/>
    <w:uiPriority w:val="99"/>
    <w:rPr>
      <w:rFonts w:ascii="Times New Roman" w:hAnsi="Times New Roman" w:eastAsia="Calibri" w:cs="Times New Roman"/>
      <w:sz w:val="26"/>
      <w:szCs w:val="28"/>
      <w:lang w:eastAsia="ru-RU"/>
    </w:rPr>
  </w:style>
  <w:style w:type="paragraph" w:styleId="af4">
    <w:name w:val="footer"/>
    <w:basedOn w:val="a2"/>
    <w:link w:val="af5"/>
    <w:uiPriority w:val="99"/>
    <w:unhideWhenUsed/>
    <w:pPr>
      <w:tabs>
        <w:tab w:val="center" w:pos="4677"/>
        <w:tab w:val="right" w:pos="9355"/>
      </w:tabs>
      <w:spacing w:line="240" w:lineRule="auto"/>
    </w:pPr>
  </w:style>
  <w:style w:type="character" w:styleId="af5" w:customStyle="1">
    <w:name w:val="Нижний колонтитул Знак"/>
    <w:basedOn w:val="a3"/>
    <w:link w:val="af4"/>
    <w:uiPriority w:val="99"/>
    <w:rPr>
      <w:rFonts w:ascii="Times New Roman" w:hAnsi="Times New Roman" w:eastAsia="Calibri" w:cs="Times New Roman"/>
      <w:sz w:val="26"/>
      <w:szCs w:val="28"/>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garantF1://12084522.21" TargetMode="External"/><Relationship Id="rId11" Type="http://schemas.openxmlformats.org/officeDocument/2006/relationships/hyperlink" Target="garantF1://12025178.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Р7-Офис/7.4.0.341</Application>
  <Characters>14720</Characters>
  <CharactersWithSpaces>17268</CharactersWithSpaces>
  <Company>PNO</Company>
  <DocSecurity>0</DocSecurity>
  <HyperlinksChanged>false</HyperlinksChanged>
  <Lines>122</Lines>
  <LinksUpToDate>false</LinksUpToDate>
  <Pages>7</Pages>
  <Paragraphs>34</Paragraphs>
  <ScaleCrop>false</ScaleCrop>
  <SharedDoc>false</SharedDoc>
  <Template>Normal</Template>
  <TotalTime>110</TotalTime>
  <Words>2582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Майер Евгения Андреевна</dc:creator>
  <cp:keywords/>
  <dc:description/>
  <cp:lastModifiedBy>Майер Евгения Андреевна</cp:lastModifiedBy>
  <cp:revision>11</cp:revision>
  <cp:lastPrinted>2023-05-04T08:04:00Z</cp:lastPrinted>
  <dcterms:created xsi:type="dcterms:W3CDTF">2023-11-10T08:36:00Z</dcterms:created>
  <dcterms:modified xsi:type="dcterms:W3CDTF">2023-11-23T08:51:00Z</dcterms:modified>
</cp:coreProperties>
</file>