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Новосибирской области от 10.06.2015 № 219-п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 о с 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</w:rPr>
        <w:t xml:space="preserve"> а н о в л я е 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3" w:tooltip="consultantplus://offline/ref=05272F20611F609A21F2634B10DFC30E263F779B8FAAB2EFBA2CEB9E1D21D5AFC2F6BCF744DFC1EC0223E8E85114BD60A1L4U2K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 10.06.2015 №</w:t>
      </w:r>
      <w:r>
        <w:rPr>
          <w:rFonts w:ascii="Times New Roman" w:hAnsi="Times New Roman" w:cs="Times New Roman"/>
          <w:sz w:val="28"/>
          <w:szCs w:val="28"/>
        </w:rPr>
        <w:t xml:space="preserve"> 219-п «Об установлении Порядка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области» следующие изменения: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tooltip="https://login.consultant.ru/link/?req=doc&amp;base=RLAW049&amp;n=153837&amp;dst=100082" w:history="1">
        <w:r>
          <w:rPr>
            <w:rFonts w:ascii="Times New Roman" w:hAnsi="Times New Roman" w:cs="Times New Roman"/>
            <w:sz w:val="28"/>
            <w:szCs w:val="28"/>
          </w:rPr>
          <w:t xml:space="preserve">Порядке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 абзаце втором пункта 1 слова «исполнительным органом государственной власти» заменить словами «областным исполнительным органом».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 Пункт 2 признать утратившим силу.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Дополнить пунктом 2.1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 Если иное не установлено законодательством Российской Федерации и в случаях, не указанных в пунктах 3 – 6.3 настоящего Порядка, арендная плата за земельные участки рассчитывается по следующей формуле: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 = Кс x </w:t>
      </w:r>
      <w:r>
        <w:rPr>
          <w:rFonts w:ascii="Times New Roman" w:hAnsi="Times New Roman" w:cs="Times New Roman"/>
          <w:sz w:val="28"/>
          <w:szCs w:val="28"/>
        </w:rPr>
        <w:t xml:space="preserve">Кз</w:t>
      </w:r>
      <w:r>
        <w:rPr>
          <w:rFonts w:ascii="Times New Roman" w:hAnsi="Times New Roman" w:cs="Times New Roman"/>
          <w:sz w:val="28"/>
          <w:szCs w:val="28"/>
        </w:rPr>
        <w:t xml:space="preserve"> x Км, где: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 – годовой размер арендной платы, в рублях;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 – кадастровая стоимость земельного участка;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Кз</w:t>
      </w:r>
      <w:r>
        <w:rPr>
          <w:rFonts w:ascii="Times New Roman" w:hAnsi="Times New Roman" w:cs="Times New Roman"/>
          <w:sz w:val="28"/>
          <w:szCs w:val="28"/>
        </w:rPr>
        <w:t xml:space="preserve"> – коэффициент, устанавливающий зависимость арендной платы от вида разрешенного использования земельного участка, согласно приложению № 1 к настоящему Порядку;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both"/>
        <w:tabs>
          <w:tab w:val="left" w:pos="24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Км – корректирующий коэффициент.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 Км утверждается нормативным правовым актом представительного органа местно</w:t>
      </w:r>
      <w:r>
        <w:rPr>
          <w:rFonts w:ascii="Times New Roman" w:hAnsi="Times New Roman" w:cs="Times New Roman"/>
          <w:sz w:val="28"/>
          <w:szCs w:val="28"/>
        </w:rPr>
        <w:t xml:space="preserve">го самоуправления муниципального, городского округа, муниципального района Новосибирской области в отношении земельных участков, государственная собственность на которые не разграничена, расположенных в границах соответствующего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области, в соответствии с предельными (минимальными и максимальными) значениями коэффициента Км согласно приложению № 2 к настоящему Порядку. В случае если коэффициент Км не утвержден, его значение принимается равным 1.».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В пункте 3: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cs="Times New Roman"/>
          <w:sz w:val="28"/>
          <w:szCs w:val="28"/>
        </w:rPr>
        <w:t xml:space="preserve">подпункт 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абзац</w:t>
      </w:r>
      <w:r>
        <w:rPr>
          <w:rFonts w:ascii="Times New Roman" w:hAnsi="Times New Roman" w:cs="Times New Roman"/>
          <w:sz w:val="28"/>
          <w:szCs w:val="28"/>
        </w:rPr>
        <w:t xml:space="preserve">ами</w:t>
      </w:r>
      <w:r>
        <w:rPr>
          <w:rFonts w:ascii="Times New Roman" w:hAnsi="Times New Roman" w:cs="Times New Roman"/>
          <w:sz w:val="28"/>
          <w:szCs w:val="28"/>
        </w:rPr>
        <w:t xml:space="preserve"> девятым</w:t>
      </w:r>
      <w:r>
        <w:rPr>
          <w:rFonts w:ascii="Times New Roman" w:hAnsi="Times New Roman" w:cs="Times New Roman"/>
          <w:sz w:val="28"/>
          <w:szCs w:val="28"/>
        </w:rPr>
        <w:t xml:space="preserve"> и десятым </w:t>
      </w:r>
      <w:r>
        <w:rPr>
          <w:rFonts w:ascii="Times New Roman" w:hAnsi="Times New Roman" w:cs="Times New Roman"/>
          <w:sz w:val="28"/>
          <w:szCs w:val="28"/>
        </w:rPr>
        <w:t xml:space="preserve">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«земельного уч</w:t>
      </w:r>
      <w:r>
        <w:rPr>
          <w:rFonts w:ascii="Times New Roman" w:hAnsi="Times New Roman" w:cs="Times New Roman"/>
          <w:sz w:val="28"/>
          <w:szCs w:val="28"/>
        </w:rPr>
        <w:t xml:space="preserve">астка, предоставленного лицу, с которым заключено концессионное соглашение о создании и эксплуатации инфраструктуры высокоскоростного железнодорожного транспорта общего пользования, для осуществления деятельности, предусмотренной концессионным соглашением;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участка, предоставленного для размещения автомобильных дорог регионального, межмуниципального, местного значения;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подпункт 3 признать утратившим силу;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подпункт 3.1 признать утратившим силу;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в подпункте 8: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четвертый признать утратившим силу;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hyperlink r:id="rId15" w:tooltip="https://login.consultant.ru/link/?req=doc&amp;base=RLAW049&amp;n=168628&amp;dst=100124" w:history="1">
        <w:r>
          <w:rPr>
            <w:rFonts w:ascii="Times New Roman" w:hAnsi="Times New Roman" w:cs="Times New Roman"/>
            <w:sz w:val="28"/>
            <w:szCs w:val="28"/>
          </w:rPr>
          <w:t xml:space="preserve">абзац пятый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«земельного участка в случае заключения договора аренды земельного участка с юридическим лицом, обеспечивающим в соответствии с Градостроительным </w:t>
      </w:r>
      <w:hyperlink r:id="rId16" w:tooltip="https://login.consultant.ru/link/?req=doc&amp;base=LAW&amp;n=461102" w:history="1">
        <w:r>
          <w:rPr>
            <w:rFonts w:ascii="Times New Roman" w:hAnsi="Times New Roman" w:cs="Times New Roman"/>
            <w:sz w:val="28"/>
            <w:szCs w:val="28"/>
          </w:rPr>
          <w:t xml:space="preserve"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реализацию решения о комплексном развитии территории нежилой застройки или незастроенной территории, но не выше размера земельного налога, рассчитанного в отношении такого земельного участка;».;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в подпункте 8.1 слово «электростанций» заменить словом «станций»;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) абзац третий подпункта 9 признать утратившим силу;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) подпункт 10 признать утратившим силу.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В пункте 4: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подпункт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 1 </w:t>
      </w:r>
      <w:r>
        <w:rPr>
          <w:rFonts w:ascii="Times New Roman" w:hAnsi="Times New Roman" w:cs="Times New Roman"/>
          <w:sz w:val="28"/>
          <w:szCs w:val="28"/>
        </w:rPr>
        <w:t xml:space="preserve">слово «общего» заменить словом «необщего»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дополнить подпунктом 3.1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«3.1) 0,2</w:t>
      </w:r>
      <w:r>
        <w:rPr>
          <w:rFonts w:ascii="Times New Roman" w:hAnsi="Times New Roman" w:cs="Times New Roman"/>
          <w:sz w:val="28"/>
          <w:szCs w:val="28"/>
        </w:rPr>
        <w:t xml:space="preserve">3 руб./кв. м в отношении земельных участков, предоставленных (занятых) для размещения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радиоканалов, но не бо</w:t>
      </w:r>
      <w:r>
        <w:rPr>
          <w:rFonts w:ascii="Times New Roman" w:hAnsi="Times New Roman" w:cs="Times New Roman"/>
          <w:sz w:val="28"/>
          <w:szCs w:val="28"/>
        </w:rPr>
        <w:t xml:space="preserve">лее 0,01% от кадастровой стоимости земельного участка, если на нем расположены объекты, обеспечивающие радиовещание на длинных, средних и коротких частотах и не более 0,3% от кадастровой стоимости земельного участка в отношении прочих земельных участков;»;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 в абзаце втором подпункта 4 слова «организации, являющейся в соответствии с Федеральным </w:t>
      </w:r>
      <w:hyperlink r:id="rId17" w:tooltip="https://login.consultant.ru/link/?req=doc&amp;base=LAW&amp;n=464309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 31.03.1</w:t>
      </w:r>
      <w:r>
        <w:rPr>
          <w:rFonts w:ascii="Times New Roman" w:hAnsi="Times New Roman" w:cs="Times New Roman"/>
          <w:sz w:val="28"/>
          <w:szCs w:val="28"/>
        </w:rPr>
        <w:t xml:space="preserve">999 № 69-ФЗ «О газоснабжении в Российской Федерации» собственником такой системы, в том числе в случае, если земельный участок предназначен для осуществления пользования недрами» заменить словами «газопроводов и иных трубопроводов аналогичного назначения, </w:t>
      </w:r>
      <w:r>
        <w:rPr>
          <w:rFonts w:ascii="Times New Roman" w:hAnsi="Times New Roman" w:cs="Times New Roman"/>
          <w:sz w:val="28"/>
          <w:szCs w:val="28"/>
        </w:rPr>
        <w:t xml:space="preserve">их конструктивных элементов и сооружений, являющихся неотъемлемой технологической частью указанных объектов»;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) дополнить пункт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 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«7) </w:t>
      </w:r>
      <w:r>
        <w:rPr>
          <w:rFonts w:ascii="Times New Roman" w:hAnsi="Times New Roman" w:cs="Times New Roman"/>
          <w:sz w:val="28"/>
          <w:szCs w:val="28"/>
        </w:rPr>
        <w:t xml:space="preserve">в отношении з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емельных участков,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предоставленных (занятых) для размещения объектов космической инфраструктуры (за исключением районов падения отделяющихся частей космических объектов)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руб./га в отношении земельных участков, предоставленных (занятых) для размещения космодромов, стартовых комплексов и пусковых установок, командно-измерительных комплексов</w:t>
      </w:r>
      <w:r>
        <w:rPr>
          <w:rFonts w:ascii="Times New Roman" w:hAnsi="Times New Roman" w:cs="Times New Roman"/>
          <w:sz w:val="28"/>
          <w:szCs w:val="28"/>
        </w:rPr>
        <w:t xml:space="preserve">, центров и пунктов управления полетами космических объектов, пунктов приема, хранения и обработки информации, полигонов посадки космических объектов и взлетно-посадочных полос;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 руб./га в отношении земельных участков, предоставленных (занятых) для размещения объектов экспериментальной базы для обработки космической техники, центов для подготовки космонавтов;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руб./га в отношении земельных участков, предоставленных (занятых) для размещения бах хранения космической техники, других наземных сооружений, используемых при осуществлении космической деятельности.»;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Дополнить пунктом 5.1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«5.1. Арендная плата за земельные участки, предоставленные для размещения нестационарных торговых объектов, рассчитывается по следующей формуле: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 =</w:t>
      </w:r>
      <w:r>
        <w:rPr>
          <w:rFonts w:ascii="Times New Roman" w:hAnsi="Times New Roman" w:cs="Times New Roman"/>
          <w:sz w:val="28"/>
          <w:szCs w:val="28"/>
        </w:rPr>
        <w:t xml:space="preserve">Сркс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Кзп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</w:t>
      </w:r>
      <w:r>
        <w:rPr>
          <w:rFonts w:ascii="Times New Roman" w:hAnsi="Times New Roman" w:cs="Times New Roman"/>
          <w:sz w:val="28"/>
          <w:szCs w:val="28"/>
        </w:rPr>
        <w:t xml:space="preserve"> Кд, где: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 – годовой размер арендной платы, в рублях;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Сркс</w:t>
      </w:r>
      <w:r>
        <w:rPr>
          <w:rFonts w:ascii="Times New Roman" w:hAnsi="Times New Roman" w:cs="Times New Roman"/>
          <w:sz w:val="28"/>
          <w:szCs w:val="28"/>
        </w:rPr>
        <w:t xml:space="preserve"> – средний уровень кадастровой стоимости по муниципальному району, муниципальному, городскому округу по Сегменту 4 «Предпринимательство», в руб./кв. 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Плзу</w:t>
      </w:r>
      <w:r>
        <w:rPr>
          <w:rFonts w:ascii="Times New Roman" w:hAnsi="Times New Roman" w:cs="Times New Roman"/>
          <w:sz w:val="28"/>
          <w:szCs w:val="28"/>
        </w:rPr>
        <w:t xml:space="preserve"> – площадь земельного участка (части земельного участка), в кв. 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Кзп</w:t>
      </w:r>
      <w:r>
        <w:rPr>
          <w:rFonts w:ascii="Times New Roman" w:hAnsi="Times New Roman" w:cs="Times New Roman"/>
          <w:sz w:val="28"/>
          <w:szCs w:val="28"/>
        </w:rPr>
        <w:t xml:space="preserve"> – коэффициент, устанавливающий зависимость арендной платы от вида разрешенного использования земельного участка, согласно приложению № 1 к настоящему Порядку по Сегменту 4 «Предпринимательство»;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Кд – корректирующий коэффициент, устанавливающий зависимость арендной платы от типа и специализации нестационарного торгового объекта, а также местоположения земельного участка.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 Кд утверждается нормативным правовым актом представительного органа местного самоуправления муниципального, городского округа, муниципального района Новосибирской области в отн</w:t>
      </w:r>
      <w:r>
        <w:rPr>
          <w:rFonts w:ascii="Times New Roman" w:hAnsi="Times New Roman" w:cs="Times New Roman"/>
          <w:sz w:val="28"/>
          <w:szCs w:val="28"/>
        </w:rPr>
        <w:t xml:space="preserve">ошении земельных участков, государственная собственность на которые не разграничена, расположенных в границах соответствующего муниципального образования Новосибирской области. В случае если коэффициент Кд не утвержден, его значение принимается равным 1.».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Дополнить пунктом 6.4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«6.4. В случаях, указанных в пунктах 2.1 и 5 настоящего Порядка, при расчете размера арендной платы за земельный участок, в отношении которого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несколько видов разрешенного использования, применяются коэффициенты </w:t>
      </w:r>
      <w:r>
        <w:rPr>
          <w:rFonts w:ascii="Times New Roman" w:hAnsi="Times New Roman" w:cs="Times New Roman"/>
          <w:sz w:val="28"/>
          <w:szCs w:val="28"/>
        </w:rPr>
        <w:t xml:space="preserve">Кз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Кр</w:t>
      </w:r>
      <w:r>
        <w:rPr>
          <w:rFonts w:ascii="Times New Roman" w:hAnsi="Times New Roman" w:cs="Times New Roman"/>
          <w:sz w:val="28"/>
          <w:szCs w:val="28"/>
        </w:rPr>
        <w:t xml:space="preserve">, учитывающие вид разрешенного использования земельного участка, с максимальным значением.».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Абзац второй пункта 8 признать утратившим силу.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 Пункт 10 признать утратившим силу.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Дополнить: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приложением № 1 </w:t>
      </w:r>
      <w:r>
        <w:rPr>
          <w:rFonts w:ascii="Times New Roman" w:hAnsi="Times New Roman" w:cs="Times New Roman"/>
          <w:sz w:val="28"/>
          <w:szCs w:val="28"/>
        </w:rPr>
        <w:t xml:space="preserve">«Значение коэффициента,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устанавливающего зависимость арендной платы от вида разрешенного использования земельного участка (</w:t>
      </w:r>
      <w:r>
        <w:rPr>
          <w:rFonts w:ascii="Times New Roman" w:hAnsi="Times New Roman" w:cs="Times New Roman"/>
          <w:bCs/>
          <w:sz w:val="28"/>
          <w:szCs w:val="28"/>
        </w:rPr>
        <w:t xml:space="preserve">Кз</w:t>
      </w:r>
      <w:r>
        <w:rPr>
          <w:rFonts w:ascii="Times New Roman" w:hAnsi="Times New Roman" w:cs="Times New Roman"/>
          <w:bCs/>
          <w:sz w:val="28"/>
          <w:szCs w:val="28"/>
        </w:rPr>
        <w:t xml:space="preserve">)»;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приложением № 2</w:t>
      </w:r>
      <w:r>
        <w:rPr>
          <w:rFonts w:ascii="Times New Roman" w:hAnsi="Times New Roman" w:cs="Times New Roman"/>
          <w:sz w:val="28"/>
          <w:szCs w:val="28"/>
        </w:rPr>
        <w:t xml:space="preserve"> «Предельные значения корректирующего коэффициента (Км)».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 Настоящее постановление вступает в силу с 01.01.2025.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А. А. Травников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Р.Г. Шилохвостов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238 60 02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headerReference w:type="default" r:id="rId9"/>
          <w:headerReference w:type="first" r:id="rId10"/>
          <w:footnotePr/>
          <w:endnotePr/>
          <w:type w:val="nextPage"/>
          <w:pgSz w:w="11909" w:h="16834" w:orient="portrait"/>
          <w:pgMar w:top="1134" w:right="567" w:bottom="1134" w:left="1418" w:header="1134" w:footer="720" w:gutter="0"/>
          <w:pgNumType w:start="1"/>
          <w:cols w:num="1" w:sep="0" w:space="6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В.М. Знатков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 –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финансов и налоговой политики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В.Ю. Голубенко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юстиции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Т.Н. Деркач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департамента имущества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земельных отношений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Р.Г. Шилохвостов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 – начальник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юридического отдела департамента имущества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земельных отношений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С.В. Калашникова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11"/>
      <w:footerReference w:type="even" r:id="rId12"/>
      <w:footnotePr/>
      <w:endnotePr/>
      <w:type w:val="nextPage"/>
      <w:pgSz w:w="11909" w:h="16834" w:orient="portrait"/>
      <w:pgMar w:top="1134" w:right="567" w:bottom="1134" w:left="1418" w:header="720" w:footer="198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rPr>
        <w:rStyle w:val="929"/>
      </w:rPr>
      <w:framePr w:wrap="around" w:vAnchor="text" w:hAnchor="margin" w:y="1"/>
    </w:pPr>
    <w:r>
      <w:rPr>
        <w:rStyle w:val="929"/>
      </w:rPr>
      <w:fldChar w:fldCharType="begin"/>
    </w:r>
    <w:r>
      <w:rPr>
        <w:rStyle w:val="929"/>
      </w:rPr>
      <w:instrText xml:space="preserve">PAGE  </w:instrText>
    </w:r>
    <w:r>
      <w:rPr>
        <w:rStyle w:val="929"/>
      </w:rPr>
      <w:fldChar w:fldCharType="end"/>
    </w:r>
    <w:r>
      <w:rPr>
        <w:rStyle w:val="929"/>
      </w:rPr>
    </w:r>
  </w:p>
  <w:p>
    <w:pPr>
      <w:pStyle w:val="927"/>
      <w:ind w:firstLine="360"/>
    </w:pPr>
    <w:r/>
    <w:r/>
  </w:p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92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jc w:val="right"/>
    </w:pPr>
    <w:r/>
    <w:r/>
  </w:p>
  <w:p>
    <w:pPr>
      <w:pStyle w:val="92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</w:pPr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7" w:default="1">
    <w:name w:val="Normal"/>
    <w:qFormat/>
  </w:style>
  <w:style w:type="paragraph" w:styleId="728">
    <w:name w:val="Heading 1"/>
    <w:basedOn w:val="727"/>
    <w:next w:val="727"/>
    <w:link w:val="7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9">
    <w:name w:val="Heading 2"/>
    <w:basedOn w:val="727"/>
    <w:next w:val="727"/>
    <w:link w:val="7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0">
    <w:name w:val="Heading 3"/>
    <w:basedOn w:val="727"/>
    <w:next w:val="727"/>
    <w:link w:val="7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1">
    <w:name w:val="Heading 4"/>
    <w:basedOn w:val="727"/>
    <w:next w:val="727"/>
    <w:link w:val="7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727"/>
    <w:next w:val="727"/>
    <w:link w:val="7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727"/>
    <w:next w:val="727"/>
    <w:link w:val="7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34">
    <w:name w:val="Heading 7"/>
    <w:basedOn w:val="727"/>
    <w:next w:val="727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35">
    <w:name w:val="Heading 8"/>
    <w:basedOn w:val="727"/>
    <w:next w:val="727"/>
    <w:link w:val="7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36">
    <w:name w:val="Heading 9"/>
    <w:basedOn w:val="727"/>
    <w:next w:val="727"/>
    <w:link w:val="7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 w:default="1">
    <w:name w:val="Default Paragraph Font"/>
    <w:uiPriority w:val="1"/>
    <w:semiHidden/>
    <w:unhideWhenUsed/>
  </w:style>
  <w:style w:type="table" w:styleId="7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9" w:default="1">
    <w:name w:val="No List"/>
    <w:uiPriority w:val="99"/>
    <w:semiHidden/>
    <w:unhideWhenUsed/>
  </w:style>
  <w:style w:type="character" w:styleId="740" w:customStyle="1">
    <w:name w:val="Heading 1 Char"/>
    <w:basedOn w:val="737"/>
    <w:uiPriority w:val="9"/>
    <w:rPr>
      <w:rFonts w:ascii="Arial" w:hAnsi="Arial" w:eastAsia="Arial" w:cs="Arial"/>
      <w:sz w:val="40"/>
      <w:szCs w:val="40"/>
    </w:rPr>
  </w:style>
  <w:style w:type="character" w:styleId="741" w:customStyle="1">
    <w:name w:val="Heading 2 Char"/>
    <w:basedOn w:val="737"/>
    <w:uiPriority w:val="9"/>
    <w:rPr>
      <w:rFonts w:ascii="Arial" w:hAnsi="Arial" w:eastAsia="Arial" w:cs="Arial"/>
      <w:sz w:val="34"/>
    </w:rPr>
  </w:style>
  <w:style w:type="character" w:styleId="742" w:customStyle="1">
    <w:name w:val="Heading 3 Char"/>
    <w:basedOn w:val="737"/>
    <w:uiPriority w:val="9"/>
    <w:rPr>
      <w:rFonts w:ascii="Arial" w:hAnsi="Arial" w:eastAsia="Arial" w:cs="Arial"/>
      <w:sz w:val="30"/>
      <w:szCs w:val="30"/>
    </w:rPr>
  </w:style>
  <w:style w:type="character" w:styleId="743" w:customStyle="1">
    <w:name w:val="Heading 4 Char"/>
    <w:basedOn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Heading 5 Char"/>
    <w:basedOn w:val="737"/>
    <w:uiPriority w:val="9"/>
    <w:rPr>
      <w:rFonts w:ascii="Arial" w:hAnsi="Arial" w:eastAsia="Arial" w:cs="Arial"/>
      <w:b/>
      <w:bCs/>
      <w:sz w:val="24"/>
      <w:szCs w:val="24"/>
    </w:rPr>
  </w:style>
  <w:style w:type="character" w:styleId="745" w:customStyle="1">
    <w:name w:val="Heading 6 Char"/>
    <w:basedOn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Heading 7 Char"/>
    <w:basedOn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Heading 8 Char"/>
    <w:basedOn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Heading 9 Char"/>
    <w:basedOn w:val="737"/>
    <w:uiPriority w:val="9"/>
    <w:rPr>
      <w:rFonts w:ascii="Arial" w:hAnsi="Arial" w:eastAsia="Arial" w:cs="Arial"/>
      <w:i/>
      <w:iCs/>
      <w:sz w:val="21"/>
      <w:szCs w:val="21"/>
    </w:rPr>
  </w:style>
  <w:style w:type="character" w:styleId="749" w:customStyle="1">
    <w:name w:val="Title Char"/>
    <w:basedOn w:val="737"/>
    <w:uiPriority w:val="10"/>
    <w:rPr>
      <w:sz w:val="48"/>
      <w:szCs w:val="48"/>
    </w:rPr>
  </w:style>
  <w:style w:type="character" w:styleId="750" w:customStyle="1">
    <w:name w:val="Subtitle Char"/>
    <w:basedOn w:val="737"/>
    <w:uiPriority w:val="11"/>
    <w:rPr>
      <w:sz w:val="24"/>
      <w:szCs w:val="24"/>
    </w:rPr>
  </w:style>
  <w:style w:type="character" w:styleId="751" w:customStyle="1">
    <w:name w:val="Quote Char"/>
    <w:uiPriority w:val="29"/>
    <w:rPr>
      <w:i/>
    </w:rPr>
  </w:style>
  <w:style w:type="character" w:styleId="752" w:customStyle="1">
    <w:name w:val="Intense Quote Char"/>
    <w:uiPriority w:val="30"/>
    <w:rPr>
      <w:i/>
    </w:rPr>
  </w:style>
  <w:style w:type="character" w:styleId="753" w:customStyle="1">
    <w:name w:val="Footnote Text Char"/>
    <w:uiPriority w:val="99"/>
    <w:rPr>
      <w:sz w:val="18"/>
    </w:rPr>
  </w:style>
  <w:style w:type="character" w:styleId="754" w:customStyle="1">
    <w:name w:val="Endnote Text Char"/>
    <w:uiPriority w:val="99"/>
    <w:rPr>
      <w:sz w:val="20"/>
    </w:rPr>
  </w:style>
  <w:style w:type="character" w:styleId="755" w:customStyle="1">
    <w:name w:val="Заголовок 1 Знак"/>
    <w:basedOn w:val="737"/>
    <w:link w:val="728"/>
    <w:uiPriority w:val="9"/>
    <w:rPr>
      <w:rFonts w:ascii="Arial" w:hAnsi="Arial" w:eastAsia="Arial" w:cs="Arial"/>
      <w:sz w:val="40"/>
      <w:szCs w:val="40"/>
    </w:rPr>
  </w:style>
  <w:style w:type="character" w:styleId="756" w:customStyle="1">
    <w:name w:val="Заголовок 2 Знак"/>
    <w:basedOn w:val="737"/>
    <w:link w:val="729"/>
    <w:uiPriority w:val="9"/>
    <w:rPr>
      <w:rFonts w:ascii="Arial" w:hAnsi="Arial" w:eastAsia="Arial" w:cs="Arial"/>
      <w:sz w:val="34"/>
    </w:rPr>
  </w:style>
  <w:style w:type="character" w:styleId="757" w:customStyle="1">
    <w:name w:val="Заголовок 3 Знак"/>
    <w:basedOn w:val="737"/>
    <w:link w:val="730"/>
    <w:uiPriority w:val="9"/>
    <w:rPr>
      <w:rFonts w:ascii="Arial" w:hAnsi="Arial" w:eastAsia="Arial" w:cs="Arial"/>
      <w:sz w:val="30"/>
      <w:szCs w:val="30"/>
    </w:rPr>
  </w:style>
  <w:style w:type="character" w:styleId="758" w:customStyle="1">
    <w:name w:val="Заголовок 4 Знак"/>
    <w:basedOn w:val="737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59" w:customStyle="1">
    <w:name w:val="Заголовок 5 Знак"/>
    <w:basedOn w:val="737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60" w:customStyle="1">
    <w:name w:val="Заголовок 6 Знак"/>
    <w:basedOn w:val="737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61" w:customStyle="1">
    <w:name w:val="Заголовок 7 Знак"/>
    <w:basedOn w:val="737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2" w:customStyle="1">
    <w:name w:val="Заголовок 8 Знак"/>
    <w:basedOn w:val="737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63" w:customStyle="1">
    <w:name w:val="Заголовок 9 Знак"/>
    <w:basedOn w:val="737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64">
    <w:name w:val="List Paragraph"/>
    <w:basedOn w:val="727"/>
    <w:uiPriority w:val="34"/>
    <w:qFormat/>
    <w:pPr>
      <w:contextualSpacing/>
      <w:ind w:left="720"/>
    </w:pPr>
  </w:style>
  <w:style w:type="paragraph" w:styleId="765">
    <w:name w:val="No Spacing"/>
    <w:uiPriority w:val="1"/>
    <w:qFormat/>
    <w:pPr>
      <w:spacing w:after="0" w:line="240" w:lineRule="auto"/>
    </w:pPr>
  </w:style>
  <w:style w:type="paragraph" w:styleId="766">
    <w:name w:val="Title"/>
    <w:basedOn w:val="727"/>
    <w:next w:val="727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7" w:customStyle="1">
    <w:name w:val="Заголовок Знак"/>
    <w:basedOn w:val="737"/>
    <w:link w:val="766"/>
    <w:uiPriority w:val="10"/>
    <w:rPr>
      <w:sz w:val="48"/>
      <w:szCs w:val="48"/>
    </w:rPr>
  </w:style>
  <w:style w:type="paragraph" w:styleId="768">
    <w:name w:val="Subtitle"/>
    <w:basedOn w:val="727"/>
    <w:next w:val="727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 w:customStyle="1">
    <w:name w:val="Подзаголовок Знак"/>
    <w:basedOn w:val="737"/>
    <w:link w:val="768"/>
    <w:uiPriority w:val="11"/>
    <w:rPr>
      <w:sz w:val="24"/>
      <w:szCs w:val="24"/>
    </w:rPr>
  </w:style>
  <w:style w:type="paragraph" w:styleId="770">
    <w:name w:val="Quote"/>
    <w:basedOn w:val="727"/>
    <w:next w:val="727"/>
    <w:link w:val="771"/>
    <w:uiPriority w:val="29"/>
    <w:qFormat/>
    <w:pPr>
      <w:ind w:left="720" w:right="720"/>
    </w:pPr>
    <w:rPr>
      <w:i/>
    </w:rPr>
  </w:style>
  <w:style w:type="character" w:styleId="771" w:customStyle="1">
    <w:name w:val="Цитата 2 Знак"/>
    <w:link w:val="770"/>
    <w:uiPriority w:val="29"/>
    <w:rPr>
      <w:i/>
    </w:rPr>
  </w:style>
  <w:style w:type="paragraph" w:styleId="772">
    <w:name w:val="Intense Quote"/>
    <w:basedOn w:val="727"/>
    <w:next w:val="727"/>
    <w:link w:val="77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 w:customStyle="1">
    <w:name w:val="Выделенная цитата Знак"/>
    <w:link w:val="772"/>
    <w:uiPriority w:val="30"/>
    <w:rPr>
      <w:i/>
    </w:rPr>
  </w:style>
  <w:style w:type="character" w:styleId="774" w:customStyle="1">
    <w:name w:val="Header Char"/>
    <w:basedOn w:val="737"/>
    <w:uiPriority w:val="99"/>
  </w:style>
  <w:style w:type="character" w:styleId="775" w:customStyle="1">
    <w:name w:val="Footer Char"/>
    <w:basedOn w:val="737"/>
    <w:uiPriority w:val="99"/>
  </w:style>
  <w:style w:type="paragraph" w:styleId="776">
    <w:name w:val="Caption"/>
    <w:basedOn w:val="727"/>
    <w:next w:val="72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77" w:customStyle="1">
    <w:name w:val="Caption Char"/>
    <w:uiPriority w:val="99"/>
  </w:style>
  <w:style w:type="table" w:styleId="778">
    <w:name w:val="Table Grid"/>
    <w:basedOn w:val="73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9" w:customStyle="1">
    <w:name w:val="Table Grid Light"/>
    <w:basedOn w:val="73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0">
    <w:name w:val="Plain Table 1"/>
    <w:basedOn w:val="73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2"/>
    <w:basedOn w:val="73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3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 w:customStyle="1">
    <w:name w:val="Grid Table 4 - Accent 1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8" w:customStyle="1">
    <w:name w:val="Grid Table 4 - Accent 2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9" w:customStyle="1">
    <w:name w:val="Grid Table 4 - Accent 3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10" w:customStyle="1">
    <w:name w:val="Grid Table 4 - Accent 4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11" w:customStyle="1">
    <w:name w:val="Grid Table 4 - Accent 5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12" w:customStyle="1">
    <w:name w:val="Grid Table 4 - Accent 6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3">
    <w:name w:val="Grid Table 5 Dark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20">
    <w:name w:val="Grid Table 6 Colorful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1" w:customStyle="1">
    <w:name w:val="Grid Table 6 Colorful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22" w:customStyle="1">
    <w:name w:val="Grid Table 6 Colorful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3" w:customStyle="1">
    <w:name w:val="Grid Table 6 Colorful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4" w:customStyle="1">
    <w:name w:val="Grid Table 6 Colorful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5" w:customStyle="1">
    <w:name w:val="Grid Table 6 Colorful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6" w:customStyle="1">
    <w:name w:val="Grid Table 6 Colorful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7">
    <w:name w:val="Grid Table 7 Colorful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Grid Table 7 Colorful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Grid Table 7 Colorful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Grid Table 7 Colorful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Grid Table 7 Colorful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Grid Table 7 Colorful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Grid Table 7 Colorful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>
    <w:name w:val="List Table 1 Light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1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2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3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4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5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6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8">
    <w:name w:val="List Table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>
    <w:name w:val="List Table 6 Colorful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0" w:customStyle="1">
    <w:name w:val="List Table 6 Colorful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71" w:customStyle="1">
    <w:name w:val="List Table 6 Colorful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72" w:customStyle="1">
    <w:name w:val="List Table 6 Colorful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3" w:customStyle="1">
    <w:name w:val="List Table 6 Colorful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4" w:customStyle="1">
    <w:name w:val="List Table 6 Colorful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75" w:customStyle="1">
    <w:name w:val="List Table 6 Colorful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6">
    <w:name w:val="List Table 7 Colorful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List Table 7 Colorful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List Table 7 Colorful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List Table 7 Colorful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List Table 7 Colorful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List Table 7 Colorful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List Table 7 Colorful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 w:customStyle="1">
    <w:name w:val="Lined - Accent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4" w:customStyle="1">
    <w:name w:val="Lined - Accent 1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5" w:customStyle="1">
    <w:name w:val="Lined - Accent 2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6" w:customStyle="1">
    <w:name w:val="Lined - Accent 3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7" w:customStyle="1">
    <w:name w:val="Lined - Accent 4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8" w:customStyle="1">
    <w:name w:val="Lined - Accent 5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9" w:customStyle="1">
    <w:name w:val="Lined - Accent 6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0" w:customStyle="1">
    <w:name w:val="Bordered &amp; Lined - Accent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1" w:customStyle="1">
    <w:name w:val="Bordered &amp; Lined - Accent 1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2" w:customStyle="1">
    <w:name w:val="Bordered &amp; Lined - Accent 2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3" w:customStyle="1">
    <w:name w:val="Bordered &amp; Lined - Accent 3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4" w:customStyle="1">
    <w:name w:val="Bordered &amp; Lined - Accent 4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5" w:customStyle="1">
    <w:name w:val="Bordered &amp; Lined - Accent 5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6" w:customStyle="1">
    <w:name w:val="Bordered &amp; Lined - Accent 6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7" w:customStyle="1">
    <w:name w:val="Bordered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8" w:customStyle="1">
    <w:name w:val="Bordered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9" w:customStyle="1">
    <w:name w:val="Bordered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00" w:customStyle="1">
    <w:name w:val="Bordered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01" w:customStyle="1">
    <w:name w:val="Bordered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02" w:customStyle="1">
    <w:name w:val="Bordered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03" w:customStyle="1">
    <w:name w:val="Bordered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04">
    <w:name w:val="Hyperlink"/>
    <w:uiPriority w:val="99"/>
    <w:unhideWhenUsed/>
    <w:rPr>
      <w:color w:val="0563c1" w:themeColor="hyperlink"/>
      <w:u w:val="single"/>
    </w:rPr>
  </w:style>
  <w:style w:type="paragraph" w:styleId="905">
    <w:name w:val="footnote text"/>
    <w:basedOn w:val="727"/>
    <w:link w:val="906"/>
    <w:uiPriority w:val="99"/>
    <w:semiHidden/>
    <w:unhideWhenUsed/>
    <w:pPr>
      <w:spacing w:after="40" w:line="240" w:lineRule="auto"/>
    </w:pPr>
    <w:rPr>
      <w:sz w:val="18"/>
    </w:rPr>
  </w:style>
  <w:style w:type="character" w:styleId="906" w:customStyle="1">
    <w:name w:val="Текст сноски Знак"/>
    <w:link w:val="905"/>
    <w:uiPriority w:val="99"/>
    <w:rPr>
      <w:sz w:val="18"/>
    </w:rPr>
  </w:style>
  <w:style w:type="character" w:styleId="907">
    <w:name w:val="footnote reference"/>
    <w:basedOn w:val="737"/>
    <w:uiPriority w:val="99"/>
    <w:unhideWhenUsed/>
    <w:rPr>
      <w:vertAlign w:val="superscript"/>
    </w:rPr>
  </w:style>
  <w:style w:type="paragraph" w:styleId="908">
    <w:name w:val="endnote text"/>
    <w:basedOn w:val="727"/>
    <w:link w:val="909"/>
    <w:uiPriority w:val="99"/>
    <w:semiHidden/>
    <w:unhideWhenUsed/>
    <w:pPr>
      <w:spacing w:after="0" w:line="240" w:lineRule="auto"/>
    </w:pPr>
    <w:rPr>
      <w:sz w:val="20"/>
    </w:rPr>
  </w:style>
  <w:style w:type="character" w:styleId="909" w:customStyle="1">
    <w:name w:val="Текст концевой сноски Знак"/>
    <w:link w:val="908"/>
    <w:uiPriority w:val="99"/>
    <w:rPr>
      <w:sz w:val="20"/>
    </w:rPr>
  </w:style>
  <w:style w:type="character" w:styleId="910">
    <w:name w:val="endnote reference"/>
    <w:basedOn w:val="737"/>
    <w:uiPriority w:val="99"/>
    <w:semiHidden/>
    <w:unhideWhenUsed/>
    <w:rPr>
      <w:vertAlign w:val="superscript"/>
    </w:rPr>
  </w:style>
  <w:style w:type="paragraph" w:styleId="911">
    <w:name w:val="toc 1"/>
    <w:basedOn w:val="727"/>
    <w:next w:val="727"/>
    <w:uiPriority w:val="39"/>
    <w:unhideWhenUsed/>
    <w:pPr>
      <w:spacing w:after="57"/>
    </w:pPr>
  </w:style>
  <w:style w:type="paragraph" w:styleId="912">
    <w:name w:val="toc 2"/>
    <w:basedOn w:val="727"/>
    <w:next w:val="727"/>
    <w:uiPriority w:val="39"/>
    <w:unhideWhenUsed/>
    <w:pPr>
      <w:ind w:left="283"/>
      <w:spacing w:after="57"/>
    </w:pPr>
  </w:style>
  <w:style w:type="paragraph" w:styleId="913">
    <w:name w:val="toc 3"/>
    <w:basedOn w:val="727"/>
    <w:next w:val="727"/>
    <w:uiPriority w:val="39"/>
    <w:unhideWhenUsed/>
    <w:pPr>
      <w:ind w:left="567"/>
      <w:spacing w:after="57"/>
    </w:pPr>
  </w:style>
  <w:style w:type="paragraph" w:styleId="914">
    <w:name w:val="toc 4"/>
    <w:basedOn w:val="727"/>
    <w:next w:val="727"/>
    <w:uiPriority w:val="39"/>
    <w:unhideWhenUsed/>
    <w:pPr>
      <w:ind w:left="850"/>
      <w:spacing w:after="57"/>
    </w:pPr>
  </w:style>
  <w:style w:type="paragraph" w:styleId="915">
    <w:name w:val="toc 5"/>
    <w:basedOn w:val="727"/>
    <w:next w:val="727"/>
    <w:uiPriority w:val="39"/>
    <w:unhideWhenUsed/>
    <w:pPr>
      <w:ind w:left="1134"/>
      <w:spacing w:after="57"/>
    </w:pPr>
  </w:style>
  <w:style w:type="paragraph" w:styleId="916">
    <w:name w:val="toc 6"/>
    <w:basedOn w:val="727"/>
    <w:next w:val="727"/>
    <w:uiPriority w:val="39"/>
    <w:unhideWhenUsed/>
    <w:pPr>
      <w:ind w:left="1417"/>
      <w:spacing w:after="57"/>
    </w:pPr>
  </w:style>
  <w:style w:type="paragraph" w:styleId="917">
    <w:name w:val="toc 7"/>
    <w:basedOn w:val="727"/>
    <w:next w:val="727"/>
    <w:uiPriority w:val="39"/>
    <w:unhideWhenUsed/>
    <w:pPr>
      <w:ind w:left="1701"/>
      <w:spacing w:after="57"/>
    </w:pPr>
  </w:style>
  <w:style w:type="paragraph" w:styleId="918">
    <w:name w:val="toc 8"/>
    <w:basedOn w:val="727"/>
    <w:next w:val="727"/>
    <w:uiPriority w:val="39"/>
    <w:unhideWhenUsed/>
    <w:pPr>
      <w:ind w:left="1984"/>
      <w:spacing w:after="57"/>
    </w:pPr>
  </w:style>
  <w:style w:type="paragraph" w:styleId="919">
    <w:name w:val="toc 9"/>
    <w:basedOn w:val="727"/>
    <w:next w:val="727"/>
    <w:uiPriority w:val="39"/>
    <w:unhideWhenUsed/>
    <w:pPr>
      <w:ind w:left="2268"/>
      <w:spacing w:after="57"/>
    </w:pPr>
  </w:style>
  <w:style w:type="paragraph" w:styleId="920">
    <w:name w:val="TOC Heading"/>
    <w:uiPriority w:val="39"/>
    <w:unhideWhenUsed/>
  </w:style>
  <w:style w:type="paragraph" w:styleId="921">
    <w:name w:val="table of figures"/>
    <w:basedOn w:val="727"/>
    <w:next w:val="727"/>
    <w:uiPriority w:val="99"/>
    <w:unhideWhenUsed/>
    <w:pPr>
      <w:spacing w:after="0"/>
    </w:pPr>
  </w:style>
  <w:style w:type="paragraph" w:styleId="922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23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24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925">
    <w:name w:val="Header"/>
    <w:basedOn w:val="727"/>
    <w:link w:val="926"/>
    <w:uiPriority w:val="99"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26" w:customStyle="1">
    <w:name w:val="Верхний колонтитул Знак"/>
    <w:basedOn w:val="737"/>
    <w:link w:val="92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27">
    <w:name w:val="Footer"/>
    <w:basedOn w:val="727"/>
    <w:link w:val="928"/>
    <w:uiPriority w:val="99"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28" w:customStyle="1">
    <w:name w:val="Нижний колонтитул Знак"/>
    <w:basedOn w:val="737"/>
    <w:link w:val="92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29">
    <w:name w:val="page number"/>
    <w:basedOn w:val="737"/>
    <w:uiPriority w:val="99"/>
    <w:rPr>
      <w:rFonts w:cs="Times New Roman"/>
    </w:rPr>
  </w:style>
  <w:style w:type="paragraph" w:styleId="930">
    <w:name w:val="Balloon Text"/>
    <w:basedOn w:val="727"/>
    <w:link w:val="93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31" w:customStyle="1">
    <w:name w:val="Текст выноски Знак"/>
    <w:basedOn w:val="737"/>
    <w:link w:val="930"/>
    <w:uiPriority w:val="99"/>
    <w:semiHidden/>
    <w:rPr>
      <w:rFonts w:ascii="Segoe UI" w:hAnsi="Segoe UI" w:cs="Segoe UI"/>
      <w:sz w:val="18"/>
      <w:szCs w:val="18"/>
    </w:rPr>
  </w:style>
  <w:style w:type="paragraph" w:styleId="932">
    <w:name w:val="annotation text"/>
    <w:basedOn w:val="727"/>
    <w:link w:val="93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33" w:customStyle="1">
    <w:name w:val="Текст примечания Знак"/>
    <w:basedOn w:val="737"/>
    <w:link w:val="932"/>
    <w:uiPriority w:val="99"/>
    <w:semiHidden/>
    <w:rPr>
      <w:sz w:val="20"/>
      <w:szCs w:val="20"/>
    </w:rPr>
  </w:style>
  <w:style w:type="character" w:styleId="934">
    <w:name w:val="annotation reference"/>
    <w:basedOn w:val="737"/>
    <w:uiPriority w:val="99"/>
    <w:semiHidden/>
    <w:unhideWhenUsed/>
    <w:rPr>
      <w:sz w:val="16"/>
      <w:szCs w:val="16"/>
    </w:rPr>
  </w:style>
  <w:style w:type="paragraph" w:styleId="935">
    <w:name w:val="annotation subject"/>
    <w:basedOn w:val="932"/>
    <w:next w:val="932"/>
    <w:link w:val="936"/>
    <w:uiPriority w:val="99"/>
    <w:semiHidden/>
    <w:unhideWhenUsed/>
    <w:rPr>
      <w:b/>
      <w:bCs/>
    </w:rPr>
  </w:style>
  <w:style w:type="character" w:styleId="936" w:customStyle="1">
    <w:name w:val="Тема примечания Знак"/>
    <w:basedOn w:val="933"/>
    <w:link w:val="935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hyperlink" Target="consultantplus://offline/ref=05272F20611F609A21F2634B10DFC30E263F779B8FAAB2EFBA2CEB9E1D21D5AFC2F6BCF744DFC1EC0223E8E85114BD60A1L4U2K" TargetMode="External"/><Relationship Id="rId14" Type="http://schemas.openxmlformats.org/officeDocument/2006/relationships/hyperlink" Target="https://login.consultant.ru/link/?req=doc&amp;base=RLAW049&amp;n=153837&amp;dst=100082" TargetMode="External"/><Relationship Id="rId15" Type="http://schemas.openxmlformats.org/officeDocument/2006/relationships/hyperlink" Target="https://login.consultant.ru/link/?req=doc&amp;base=RLAW049&amp;n=168628&amp;dst=100124" TargetMode="External"/><Relationship Id="rId16" Type="http://schemas.openxmlformats.org/officeDocument/2006/relationships/hyperlink" Target="https://login.consultant.ru/link/?req=doc&amp;base=LAW&amp;n=461102" TargetMode="External"/><Relationship Id="rId17" Type="http://schemas.openxmlformats.org/officeDocument/2006/relationships/hyperlink" Target="https://login.consultant.ru/link/?req=doc&amp;base=LAW&amp;n=46430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Татьяна Александровна</dc:creator>
  <cp:keywords/>
  <dc:description/>
  <cp:revision>6</cp:revision>
  <dcterms:created xsi:type="dcterms:W3CDTF">2024-08-12T02:19:00Z</dcterms:created>
  <dcterms:modified xsi:type="dcterms:W3CDTF">2024-08-13T02:15:03Z</dcterms:modified>
</cp:coreProperties>
</file>