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left="5103" w:firstLine="851"/>
        <w:jc w:val="right"/>
      </w:pPr>
      <w:r>
        <w:rPr>
          <w:szCs w:val="28"/>
        </w:rPr>
        <w:t xml:space="preserve">Проект</w:t>
      </w:r>
      <w:r>
        <w:rPr>
          <w:szCs w:val="28"/>
        </w:rPr>
        <w:t xml:space="preserve"> </w:t>
      </w:r>
      <w:r>
        <w:rPr>
          <w:szCs w:val="28"/>
        </w:rPr>
      </w:r>
      <w:r/>
    </w:p>
    <w:p>
      <w:pPr>
        <w:ind w:left="5103" w:firstLine="851"/>
        <w:jc w:val="right"/>
      </w:pPr>
      <w:r>
        <w:rPr>
          <w:szCs w:val="28"/>
        </w:rPr>
        <w:t xml:space="preserve">постановления Правительства Новосибирской </w:t>
      </w:r>
      <w:r>
        <w:rPr>
          <w:szCs w:val="28"/>
        </w:rPr>
        <w:t xml:space="preserve">о</w:t>
      </w:r>
      <w:r>
        <w:rPr>
          <w:szCs w:val="28"/>
        </w:rPr>
        <w:t xml:space="preserve">бласти</w:t>
      </w:r>
      <w:r/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</w:pPr>
      <w:r>
        <w:rPr>
          <w:szCs w:val="28"/>
        </w:rPr>
        <w:t xml:space="preserve">О</w:t>
      </w:r>
      <w:r>
        <w:rPr>
          <w:szCs w:val="28"/>
        </w:rPr>
        <w:t xml:space="preserve"> внесении изменений в постановление Правительства Новосибирской области </w:t>
      </w:r>
      <w:r/>
    </w:p>
    <w:p>
      <w:pPr>
        <w:jc w:val="center"/>
      </w:pPr>
      <w:r>
        <w:rPr>
          <w:szCs w:val="28"/>
        </w:rPr>
        <w:t xml:space="preserve">от 05.07.2022 № 314-п</w:t>
      </w:r>
      <w:r/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ind w:firstLine="708"/>
        <w:spacing w:line="240" w:lineRule="atLeast"/>
        <w:rPr>
          <w:highlight w:val="none"/>
        </w:rPr>
      </w:pPr>
      <w:r>
        <w:rPr>
          <w:szCs w:val="28"/>
        </w:rPr>
        <w:t xml:space="preserve">В</w:t>
      </w:r>
      <w:r>
        <w:rPr>
          <w:szCs w:val="28"/>
        </w:rPr>
        <w:t xml:space="preserve"> </w:t>
      </w:r>
      <w:r>
        <w:rPr>
          <w:szCs w:val="28"/>
        </w:rPr>
        <w:t xml:space="preserve">соответствии</w:t>
      </w:r>
      <w:r>
        <w:rPr>
          <w:szCs w:val="28"/>
        </w:rPr>
        <w:t xml:space="preserve"> </w:t>
      </w:r>
      <w:r>
        <w:rPr>
          <w:szCs w:val="28"/>
        </w:rPr>
        <w:t xml:space="preserve">с</w:t>
      </w:r>
      <w:r>
        <w:rPr>
          <w:szCs w:val="28"/>
        </w:rPr>
        <w:t xml:space="preserve"> </w:t>
      </w:r>
      <w:r>
        <w:rPr>
          <w:szCs w:val="28"/>
        </w:rPr>
        <w:t xml:space="preserve">постановлением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Правительства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</w:t>
      </w:r>
      <w:r>
        <w:rPr>
          <w:szCs w:val="28"/>
        </w:rPr>
        <w:t xml:space="preserve"> Федерации от </w:t>
      </w:r>
      <w:r>
        <w:rPr>
          <w:szCs w:val="28"/>
        </w:rPr>
        <w:t xml:space="preserve">0</w:t>
      </w:r>
      <w:r>
        <w:rPr>
          <w:szCs w:val="28"/>
        </w:rPr>
        <w:t xml:space="preserve">2</w:t>
      </w:r>
      <w:r>
        <w:rPr>
          <w:szCs w:val="28"/>
        </w:rPr>
        <w:t xml:space="preserve">.02.</w:t>
      </w:r>
      <w:r>
        <w:rPr>
          <w:szCs w:val="28"/>
        </w:rPr>
        <w:t xml:space="preserve">202</w:t>
      </w:r>
      <w:r>
        <w:rPr>
          <w:szCs w:val="28"/>
        </w:rPr>
        <w:t xml:space="preserve">2</w:t>
      </w:r>
      <w:r>
        <w:rPr>
          <w:szCs w:val="28"/>
        </w:rPr>
        <w:t xml:space="preserve"> № </w:t>
      </w:r>
      <w:r>
        <w:rPr>
          <w:szCs w:val="28"/>
        </w:rPr>
        <w:t xml:space="preserve">87</w:t>
      </w:r>
      <w:r>
        <w:rPr>
          <w:szCs w:val="28"/>
        </w:rPr>
        <w:t xml:space="preserve"> «</w:t>
      </w:r>
      <w:r>
        <w:rPr>
          <w:sz w:val="28"/>
          <w:szCs w:val="28"/>
        </w:rPr>
        <w:t xml:space="preserve">О предоставлении </w:t>
      </w:r>
      <w:r>
        <w:rPr>
          <w:bCs/>
          <w:sz w:val="28"/>
          <w:szCs w:val="28"/>
        </w:rPr>
        <w:t xml:space="preserve">публично-правовой компанией «Фонд развития территорий»</w:t>
      </w:r>
      <w:r>
        <w:rPr>
          <w:szCs w:val="28"/>
        </w:rPr>
        <w:t xml:space="preserve"> за счет привлеченных средств Фонда национального благосостояния займов юридическим лицам, в том числе путем пр</w:t>
      </w:r>
      <w:r>
        <w:rPr>
          <w:szCs w:val="28"/>
        </w:rPr>
        <w:t xml:space="preserve">иобретения облигаций юридических лиц при их первичном размещении, в целях реализации проектов по строительству, реконструкции, модернизации объектов инфраструктуры, и о внесении изменения в Положение о Правительственной комиссии по региональному развитию в</w:t>
      </w:r>
      <w:r>
        <w:rPr>
          <w:szCs w:val="28"/>
        </w:rPr>
        <w:t xml:space="preserve"> </w:t>
      </w:r>
      <w:r>
        <w:rPr>
          <w:szCs w:val="28"/>
        </w:rPr>
        <w:t xml:space="preserve">Российской Федерации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Правительство Новосибирской области </w:t>
      </w:r>
      <w:r>
        <w:rPr>
          <w:b/>
          <w:sz w:val="28"/>
          <w:szCs w:val="28"/>
        </w:rPr>
        <w:t xml:space="preserve">п о с т а н о в л я е т</w:t>
      </w:r>
      <w:r>
        <w:rPr>
          <w:sz w:val="28"/>
          <w:szCs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line="240" w:lineRule="atLeast"/>
        <w:rPr>
          <w:highlight w:val="none"/>
        </w:rPr>
      </w:pPr>
      <w:r>
        <w:rPr>
          <w:szCs w:val="28"/>
          <w:highlight w:val="none"/>
        </w:rPr>
        <w:t xml:space="preserve">Внести в постановление Правительства Новосибирской области </w:t>
      </w:r>
      <w:r>
        <w:rPr>
          <w:szCs w:val="28"/>
        </w:rPr>
        <w:t xml:space="preserve">от 05.07.2022 № 314-п</w:t>
      </w:r>
      <w:r>
        <w:rPr>
          <w:szCs w:val="28"/>
          <w:highlight w:val="none"/>
        </w:rPr>
        <w:t xml:space="preserve"> «Об утверждении </w:t>
      </w:r>
      <w:r>
        <w:rPr>
          <w:szCs w:val="28"/>
        </w:rPr>
        <w:t xml:space="preserve">плана мероприятий по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города Бердска</w:t>
      </w:r>
      <w:r>
        <w:rPr>
          <w:szCs w:val="28"/>
        </w:rPr>
        <w:t xml:space="preserve">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3</w:t>
      </w:r>
      <w:r>
        <w:rPr>
          <w:szCs w:val="28"/>
        </w:rPr>
        <w:t xml:space="preserve"> годах</w:t>
      </w:r>
      <w:r>
        <w:rPr>
          <w:szCs w:val="28"/>
          <w:highlight w:val="none"/>
        </w:rPr>
        <w:t xml:space="preserve">»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spacing w:line="240" w:lineRule="atLeast"/>
        <w:rPr>
          <w:highlight w:val="none"/>
          <w14:ligatures w14:val="none"/>
        </w:rPr>
      </w:pPr>
      <w:r>
        <w:rPr>
          <w:szCs w:val="28"/>
          <w:highlight w:val="none"/>
        </w:rPr>
        <w:t xml:space="preserve">1.</w:t>
      </w:r>
      <w:r>
        <w:rPr>
          <w:highlight w:val="none"/>
        </w:rPr>
        <w:t xml:space="preserve"> </w:t>
      </w:r>
      <w:r>
        <w:rPr>
          <w:highlight w:val="none"/>
          <w14:ligatures w14:val="none"/>
        </w:rPr>
      </w:r>
      <w:r>
        <w:rPr>
          <w:highlight w:val="none"/>
        </w:rPr>
        <w:t xml:space="preserve">План мероприятий по</w:t>
      </w:r>
      <w:r>
        <w:rPr>
          <w:szCs w:val="28"/>
        </w:rPr>
        <w:t xml:space="preserve"> строительству, реконструкц</w:t>
      </w:r>
      <w:r>
        <w:rPr>
          <w:szCs w:val="28"/>
        </w:rPr>
        <w:t xml:space="preserve">ии, модернизации объектов инфраструктуры на территории </w:t>
      </w:r>
      <w:r>
        <w:rPr>
          <w:szCs w:val="28"/>
        </w:rPr>
        <w:t xml:space="preserve">города Бердска</w:t>
      </w:r>
      <w:r>
        <w:rPr>
          <w:szCs w:val="28"/>
        </w:rPr>
        <w:t xml:space="preserve"> Новосибирской области в 202</w:t>
      </w:r>
      <w:r>
        <w:rPr>
          <w:szCs w:val="28"/>
        </w:rPr>
        <w:t xml:space="preserve">2</w:t>
      </w:r>
      <w:r>
        <w:rPr>
          <w:szCs w:val="28"/>
        </w:rPr>
        <w:t xml:space="preserve">-202</w:t>
      </w:r>
      <w:r>
        <w:rPr>
          <w:szCs w:val="28"/>
        </w:rPr>
        <w:t xml:space="preserve">3</w:t>
      </w:r>
      <w:r>
        <w:rPr>
          <w:szCs w:val="28"/>
        </w:rPr>
        <w:t xml:space="preserve"> годах изложить в редакции согласно приложению к настоящему постановлению</w:t>
      </w:r>
      <w:r>
        <w:rPr>
          <w:szCs w:val="28"/>
        </w:rPr>
        <w:t xml:space="preserve">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0"/>
        <w:rPr>
          <w:szCs w:val="28"/>
        </w:rPr>
      </w:pPr>
      <w:r>
        <w:rPr>
          <w:szCs w:val="28"/>
        </w:rPr>
        <w:t xml:space="preserve">Губернатор Новосибирской области</w:t>
        <w:tab/>
        <w:tab/>
        <w:tab/>
        <w:t xml:space="preserve">         </w:t>
      </w:r>
      <w:r>
        <w:rPr>
          <w:szCs w:val="28"/>
        </w:rPr>
        <w:t xml:space="preserve">         </w:t>
      </w:r>
      <w:r>
        <w:rPr>
          <w:szCs w:val="28"/>
        </w:rPr>
        <w:t xml:space="preserve">    </w:t>
      </w:r>
      <w:r>
        <w:rPr>
          <w:szCs w:val="28"/>
        </w:rPr>
        <w:t xml:space="preserve">А.А. Травников</w:t>
      </w:r>
      <w:r>
        <w:rPr>
          <w:szCs w:val="28"/>
        </w:rPr>
      </w:r>
      <w:r>
        <w:rPr>
          <w:szCs w:val="28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trike w:val="0"/>
          <w:sz w:val="20"/>
          <w:szCs w:val="20"/>
          <w:highlight w:val="white"/>
        </w:rPr>
      </w:pPr>
      <w:r>
        <w:rPr>
          <w:strike w:val="0"/>
          <w:sz w:val="20"/>
          <w:highlight w:val="none"/>
        </w:rPr>
      </w:r>
      <w:r>
        <w:rPr>
          <w:strike w:val="0"/>
          <w:sz w:val="20"/>
          <w:highlight w:val="none"/>
        </w:rPr>
      </w:r>
    </w:p>
    <w:p>
      <w:pPr>
        <w:rPr>
          <w:strike w:val="0"/>
          <w:sz w:val="20"/>
          <w:szCs w:val="20"/>
          <w:highlight w:val="none"/>
        </w:rPr>
      </w:pPr>
      <w:r>
        <w:rPr>
          <w:strike w:val="0"/>
          <w:sz w:val="20"/>
          <w:highlight w:val="none"/>
        </w:rPr>
      </w:r>
      <w:r>
        <w:rPr>
          <w:strike w:val="0"/>
          <w:sz w:val="20"/>
          <w:highlight w:val="none"/>
        </w:rPr>
      </w:r>
    </w:p>
    <w:p>
      <w:pPr>
        <w:rPr>
          <w:strike w:val="0"/>
          <w:sz w:val="20"/>
          <w:szCs w:val="20"/>
          <w:highlight w:val="none"/>
        </w:rPr>
      </w:pPr>
      <w:r>
        <w:rPr>
          <w:strike w:val="0"/>
          <w:sz w:val="20"/>
          <w:highlight w:val="none"/>
        </w:rPr>
      </w:r>
      <w:r>
        <w:rPr>
          <w:strike w:val="0"/>
          <w:sz w:val="20"/>
          <w:highlight w:val="none"/>
        </w:rPr>
      </w:r>
    </w:p>
    <w:p>
      <w:pPr>
        <w:rPr>
          <w:strike w:val="0"/>
          <w:sz w:val="20"/>
          <w:szCs w:val="20"/>
          <w:highlight w:val="none"/>
        </w:rPr>
      </w:pPr>
      <w:r>
        <w:rPr>
          <w:strike w:val="0"/>
          <w:sz w:val="20"/>
          <w:highlight w:val="none"/>
        </w:rPr>
      </w:r>
      <w:r>
        <w:rPr>
          <w:strike w:val="0"/>
          <w:sz w:val="20"/>
          <w:highlight w:val="none"/>
        </w:rPr>
      </w:r>
    </w:p>
    <w:p>
      <w:pPr>
        <w:rPr>
          <w:strike w:val="0"/>
          <w:sz w:val="20"/>
          <w:szCs w:val="20"/>
          <w:highlight w:val="none"/>
        </w:rPr>
      </w:pPr>
      <w:r>
        <w:rPr>
          <w:strike w:val="0"/>
          <w:sz w:val="20"/>
          <w:highlight w:val="none"/>
        </w:rPr>
      </w:r>
      <w:r>
        <w:rPr>
          <w:strike w:val="0"/>
          <w:sz w:val="20"/>
          <w:highlight w:val="none"/>
        </w:rPr>
      </w:r>
    </w:p>
    <w:p>
      <w:pPr>
        <w:rPr>
          <w:strike w:val="0"/>
          <w:sz w:val="20"/>
          <w:szCs w:val="20"/>
          <w:highlight w:val="none"/>
        </w:rPr>
      </w:pPr>
      <w:r>
        <w:rPr>
          <w:strike w:val="0"/>
          <w:sz w:val="20"/>
          <w:highlight w:val="none"/>
        </w:rPr>
      </w:r>
      <w:r>
        <w:rPr>
          <w:strike w:val="0"/>
          <w:sz w:val="20"/>
          <w:highlight w:val="none"/>
        </w:rPr>
      </w:r>
    </w:p>
    <w:p>
      <w:pPr>
        <w:pStyle w:val="880"/>
        <w:rPr>
          <w:strike w:val="0"/>
          <w:sz w:val="20"/>
          <w:szCs w:val="20"/>
          <w:highlight w:val="none"/>
        </w:rPr>
      </w:pPr>
      <w:r>
        <w:rPr>
          <w:strike w:val="0"/>
          <w:sz w:val="20"/>
          <w:highlight w:val="none"/>
        </w:rPr>
        <w:t xml:space="preserve">Е</w:t>
      </w:r>
      <w:r>
        <w:rPr>
          <w:strike w:val="0"/>
          <w:sz w:val="20"/>
          <w:highlight w:val="white"/>
        </w:rPr>
        <w:t xml:space="preserve">.Г. Назаров</w:t>
      </w:r>
      <w:r>
        <w:rPr>
          <w:strike w:val="0"/>
          <w:sz w:val="20"/>
          <w:szCs w:val="20"/>
          <w:highlight w:val="white"/>
        </w:rPr>
      </w:r>
      <w:r>
        <w:rPr>
          <w:strike w:val="0"/>
          <w:sz w:val="20"/>
          <w:szCs w:val="20"/>
          <w:highlight w:val="none"/>
        </w:rPr>
      </w:r>
    </w:p>
    <w:p>
      <w:pPr>
        <w:pStyle w:val="880"/>
        <w:rPr>
          <w:strike w:val="0"/>
          <w:szCs w:val="28"/>
          <w:highlight w:val="white"/>
        </w:rPr>
      </w:pPr>
      <w:r>
        <w:rPr>
          <w:strike w:val="0"/>
          <w:sz w:val="20"/>
          <w:highlight w:val="white"/>
        </w:rPr>
        <w:t xml:space="preserve">2</w:t>
      </w:r>
      <w:r>
        <w:rPr>
          <w:strike w:val="0"/>
          <w:sz w:val="20"/>
          <w:highlight w:val="white"/>
        </w:rPr>
        <w:t xml:space="preserve">38</w:t>
      </w:r>
      <w:r>
        <w:rPr>
          <w:strike w:val="0"/>
          <w:sz w:val="20"/>
          <w:highlight w:val="white"/>
        </w:rPr>
        <w:t xml:space="preserve"> </w:t>
      </w:r>
      <w:r>
        <w:rPr>
          <w:strike w:val="0"/>
          <w:sz w:val="20"/>
          <w:highlight w:val="white"/>
        </w:rPr>
        <w:t xml:space="preserve">7</w:t>
      </w:r>
      <w:r>
        <w:rPr>
          <w:strike w:val="0"/>
          <w:sz w:val="20"/>
          <w:highlight w:val="white"/>
        </w:rPr>
        <w:t xml:space="preserve">6 </w:t>
      </w:r>
      <w:r>
        <w:rPr>
          <w:strike w:val="0"/>
          <w:sz w:val="20"/>
          <w:highlight w:val="white"/>
        </w:rPr>
        <w:t xml:space="preserve">09</w:t>
      </w:r>
      <w:r>
        <w:rPr>
          <w:strike w:val="0"/>
          <w:szCs w:val="28"/>
          <w:highlight w:val="white"/>
        </w:rPr>
      </w:r>
      <w:r>
        <w:rPr>
          <w:strike w:val="0"/>
          <w:szCs w:val="28"/>
          <w:highlight w:val="white"/>
        </w:rPr>
      </w:r>
    </w:p>
    <w:p>
      <w:pPr>
        <w:pStyle w:val="880"/>
        <w:jc w:val="left"/>
        <w:rPr>
          <w:szCs w:val="28"/>
        </w:rPr>
      </w:pPr>
      <w:r>
        <w:rPr>
          <w:szCs w:val="28"/>
        </w:rPr>
        <w:br w:type="page" w:clear="all"/>
        <w:t xml:space="preserve">СОГЛАСОВАНО</w:t>
      </w:r>
      <w:r>
        <w:rPr>
          <w:szCs w:val="28"/>
        </w:rPr>
      </w:r>
      <w:r>
        <w:rPr>
          <w:szCs w:val="28"/>
        </w:rPr>
      </w:r>
    </w:p>
    <w:p>
      <w:pPr>
        <w:pStyle w:val="88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9923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2551"/>
        <w:gridCol w:w="2410"/>
      </w:tblGrid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Первый заместитель Председателя Правительства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В.М. Знатков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М</w:t>
            </w:r>
            <w:r>
              <w:rPr>
                <w:szCs w:val="28"/>
              </w:rPr>
              <w:t xml:space="preserve">инистр юстиции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80"/>
              <w:keepNext/>
              <w:rPr>
                <w:bCs/>
                <w:szCs w:val="28"/>
              </w:rPr>
              <w:outlineLvl w:val="0"/>
            </w:pPr>
            <w:r>
              <w:rPr>
                <w:bCs/>
                <w:szCs w:val="28"/>
              </w:rPr>
              <w:t xml:space="preserve">Т</w:t>
            </w:r>
            <w:r>
              <w:rPr>
                <w:bCs/>
                <w:szCs w:val="28"/>
              </w:rPr>
              <w:t xml:space="preserve">.</w:t>
            </w:r>
            <w:r>
              <w:rPr>
                <w:bCs/>
                <w:szCs w:val="28"/>
              </w:rPr>
              <w:t xml:space="preserve">Н</w:t>
            </w:r>
            <w:r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 xml:space="preserve">Деркач</w:t>
            </w:r>
            <w:r>
              <w:rPr>
                <w:bCs/>
                <w:szCs w:val="28"/>
              </w:rPr>
            </w:r>
            <w:r>
              <w:rPr>
                <w:bCs/>
                <w:szCs w:val="28"/>
              </w:rPr>
            </w:r>
          </w:p>
          <w:p>
            <w:pPr>
              <w:pStyle w:val="880"/>
              <w:keepNext/>
              <w:rPr>
                <w:szCs w:val="28"/>
              </w:rPr>
              <w:outlineLvl w:val="0"/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Заместитель Губернатора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С.Н. Сёмка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редседателя Правительства Новосибирской области – министр финансов и налоговой политики Новосибирской области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vMerge w:val="restart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В.Ю. Голубенко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министра жилищно-коммунального хозяйства и энергетики Новосибирской области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10" w:type="dxa"/>
            <w:vAlign w:val="bottom"/>
            <w:textDirection w:val="lrTb"/>
            <w:noWrap w:val="false"/>
          </w:tcPr>
          <w:p>
            <w:pPr>
              <w:pStyle w:val="880"/>
              <w:rPr>
                <w:szCs w:val="28"/>
              </w:rPr>
            </w:pPr>
            <w:r>
              <w:rPr>
                <w:szCs w:val="28"/>
              </w:rPr>
              <w:t xml:space="preserve">Е.Г. Назаров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О.Б. Белоусова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38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76</w:t>
      </w:r>
      <w:r>
        <w:rPr>
          <w:rFonts w:ascii="Times New Roman" w:hAnsi="Times New Roman" w:cs="Times New Roman"/>
        </w:rPr>
        <w:t xml:space="preserve"> 29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567" w:bottom="1134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separate"/>
    </w:r>
    <w:r>
      <w:rPr>
        <w:rStyle w:val="887"/>
      </w:rPr>
      <w:t xml:space="preserve">2</w: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rStyle w:val="887"/>
      </w:rPr>
      <w:framePr w:wrap="around" w:vAnchor="text" w:hAnchor="margin" w:xAlign="center" w:y="1"/>
    </w:pPr>
    <w:r>
      <w:rPr>
        <w:rStyle w:val="887"/>
      </w:rPr>
      <w:fldChar w:fldCharType="begin"/>
    </w:r>
    <w:r>
      <w:rPr>
        <w:rStyle w:val="887"/>
      </w:rPr>
      <w:instrText xml:space="preserve">PAGE  </w:instrText>
    </w:r>
    <w:r>
      <w:rPr>
        <w:rStyle w:val="887"/>
      </w:rPr>
      <w:fldChar w:fldCharType="end"/>
    </w:r>
    <w:r>
      <w:rPr>
        <w:rStyle w:val="887"/>
      </w:rPr>
    </w:r>
    <w:r>
      <w:rPr>
        <w:rStyle w:val="887"/>
      </w:rPr>
    </w:r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cs="Courier New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pPr>
      <w:jc w:val="both"/>
    </w:pPr>
    <w:rPr>
      <w:sz w:val="28"/>
      <w:lang w:val="ru-RU" w:eastAsia="ru-RU" w:bidi="ar-SA"/>
    </w:rPr>
  </w:style>
  <w:style w:type="paragraph" w:styleId="881">
    <w:name w:val="Заголовок 2"/>
    <w:basedOn w:val="880"/>
    <w:next w:val="880"/>
    <w:link w:val="880"/>
    <w:qFormat/>
    <w:pPr>
      <w:jc w:val="center"/>
      <w:keepNext/>
      <w:outlineLvl w:val="1"/>
    </w:pPr>
    <w:rPr>
      <w:b/>
      <w:spacing w:val="40"/>
    </w:rPr>
  </w:style>
  <w:style w:type="character" w:styleId="882">
    <w:name w:val="Основной шрифт абзаца"/>
    <w:next w:val="882"/>
    <w:link w:val="880"/>
    <w:semiHidden/>
  </w:style>
  <w:style w:type="table" w:styleId="883">
    <w:name w:val="Обычная таблица"/>
    <w:next w:val="883"/>
    <w:link w:val="880"/>
    <w:semiHidden/>
    <w:tblPr/>
  </w:style>
  <w:style w:type="numbering" w:styleId="884">
    <w:name w:val="Нет списка"/>
    <w:next w:val="884"/>
    <w:link w:val="880"/>
    <w:semiHidden/>
  </w:style>
  <w:style w:type="table" w:styleId="885">
    <w:name w:val="Сетка таблицы"/>
    <w:basedOn w:val="883"/>
    <w:next w:val="885"/>
    <w:link w:val="880"/>
    <w:pPr>
      <w:jc w:val="both"/>
    </w:pPr>
    <w:tblPr/>
  </w:style>
  <w:style w:type="paragraph" w:styleId="886">
    <w:name w:val="Верхний колонтитул"/>
    <w:basedOn w:val="880"/>
    <w:next w:val="886"/>
    <w:link w:val="880"/>
    <w:pPr>
      <w:tabs>
        <w:tab w:val="center" w:pos="4677" w:leader="none"/>
        <w:tab w:val="right" w:pos="9355" w:leader="none"/>
      </w:tabs>
    </w:pPr>
  </w:style>
  <w:style w:type="character" w:styleId="887">
    <w:name w:val="Номер страницы"/>
    <w:basedOn w:val="882"/>
    <w:next w:val="887"/>
    <w:link w:val="880"/>
  </w:style>
  <w:style w:type="paragraph" w:styleId="888">
    <w:name w:val="Текст выноски"/>
    <w:basedOn w:val="880"/>
    <w:next w:val="888"/>
    <w:link w:val="880"/>
    <w:semiHidden/>
    <w:rPr>
      <w:rFonts w:ascii="Tahoma" w:hAnsi="Tahoma" w:cs="Tahoma"/>
      <w:sz w:val="16"/>
      <w:szCs w:val="16"/>
    </w:rPr>
  </w:style>
  <w:style w:type="paragraph" w:styleId="889">
    <w:name w:val="ConsPlusNormal"/>
    <w:next w:val="889"/>
    <w:link w:val="88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90">
    <w:name w:val="ConsPlusNonformat"/>
    <w:next w:val="890"/>
    <w:link w:val="88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1">
    <w:name w:val="Основной текст"/>
    <w:basedOn w:val="880"/>
    <w:next w:val="891"/>
    <w:link w:val="892"/>
    <w:uiPriority w:val="99"/>
    <w:rPr>
      <w:szCs w:val="28"/>
    </w:rPr>
  </w:style>
  <w:style w:type="character" w:styleId="892">
    <w:name w:val="Основной текст Знак"/>
    <w:next w:val="892"/>
    <w:link w:val="891"/>
    <w:uiPriority w:val="99"/>
    <w:rPr>
      <w:sz w:val="28"/>
      <w:szCs w:val="28"/>
    </w:rPr>
  </w:style>
  <w:style w:type="paragraph" w:styleId="893">
    <w:name w:val="Нижний колонтитул"/>
    <w:basedOn w:val="880"/>
    <w:next w:val="893"/>
    <w:link w:val="894"/>
    <w:pPr>
      <w:tabs>
        <w:tab w:val="center" w:pos="4677" w:leader="none"/>
        <w:tab w:val="right" w:pos="9355" w:leader="none"/>
      </w:tabs>
    </w:pPr>
  </w:style>
  <w:style w:type="character" w:styleId="894">
    <w:name w:val="Нижний колонтитул Знак"/>
    <w:next w:val="894"/>
    <w:link w:val="893"/>
    <w:rPr>
      <w:sz w:val="28"/>
    </w:rPr>
  </w:style>
  <w:style w:type="paragraph" w:styleId="895">
    <w:name w:val="Рецензия"/>
    <w:next w:val="895"/>
    <w:link w:val="880"/>
    <w:hidden/>
    <w:uiPriority w:val="99"/>
    <w:semiHidden/>
    <w:rPr>
      <w:sz w:val="28"/>
      <w:lang w:val="ru-RU" w:eastAsia="ru-RU" w:bidi="ar-SA"/>
    </w:rPr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Департамент с/х</Company>
  <DocSecurity>0</DocSecurity>
  <HyperlinksChanged>false</HyperlinksChanged>
  <ScaleCrop>false</ScaleCrop>
  <SharedDoc>false</SharedDoc>
  <Template>Приказ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Антонов Н.А.</dc:creator>
  <cp:revision>27</cp:revision>
  <dcterms:created xsi:type="dcterms:W3CDTF">2022-03-30T12:18:00Z</dcterms:created>
  <dcterms:modified xsi:type="dcterms:W3CDTF">2024-07-05T08:51:30Z</dcterms:modified>
  <cp:version>1048576</cp:version>
</cp:coreProperties>
</file>