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4.xml" ContentType="application/vnd.openxmlformats-officedocument.wordprocessingml.head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АДМИНИСТРАЦИЯ ГОРОДА БЕРДСКА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center" w:pos="4960" w:leader="none"/>
          <w:tab w:val="left" w:pos="7868" w:leader="none"/>
        </w:tabs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 xml:space="preserve">___________       </w:t>
      </w:r>
      <w:r>
        <w:rPr>
          <w:color w:val="B2B2B2"/>
          <w:sz w:val="28"/>
          <w:szCs w:val="28"/>
        </w:rPr>
        <w:t xml:space="preserve">    [МЕСТО ДЛЯ ШТАМПА]   </w:t>
      </w:r>
      <w:r>
        <w:rPr>
          <w:color w:val="FFFFFF"/>
          <w:sz w:val="28"/>
          <w:szCs w:val="28"/>
        </w:rPr>
        <w:t xml:space="preserve">       № 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администрации города Бердска</w:t>
      </w:r>
      <w:r>
        <w:rPr>
          <w:b/>
          <w:bCs/>
          <w:sz w:val="28"/>
          <w:szCs w:val="28"/>
          <w:lang w:eastAsia="ru-RU"/>
        </w:rPr>
        <w:t xml:space="preserve"> по предоставлению муниципальной услуги </w:t>
        <w:br/>
        <w:t>«</w:t>
      </w:r>
      <w:r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rStyle w:val="ListLabel64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администрации города Бердска</w:t>
      </w:r>
      <w:r>
        <w:rPr>
          <w:sz w:val="28"/>
          <w:szCs w:val="28"/>
          <w:lang w:eastAsia="ru-RU"/>
        </w:rPr>
        <w:t xml:space="preserve"> по предоставлению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 «</w:t>
      </w:r>
      <w:r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города Бердска: 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от 11.06.2021 № 1798 «Об утверждении административного регламента предоставления муниципальной услуги «Перевод нежилого помещения в жилое помещение»;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 от 07.10.2021 № 3129 «О внесении изменений в постановление администрации города Бердска от 11.06.2021 № 1798 «Об утверждении административного регламента предоставления муниципальной услуги «Перевод нежилого помещения в жилое помещение»;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3) от 15.12.2020 № 3391 «Об утверждении административного регламента предоставления муниципальной услуги «Перевод жилого помещения в нежилое помещение»;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4) от 07.10.2021 № 3134 «О внесении изменений в постановление администрации города Бердска от 15.12.2020 № 3391 «Об утверждении административного регламента предоставления муниципальной услуги «Перевод жилого помещения в нежилое помещение».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«Вестник. Бердск» и разместить на официальном сайте администрации города Бердска.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опубликования.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Style w:val="aff2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817"/>
        <w:gridCol w:w="3270"/>
      </w:tblGrid>
      <w:tr>
        <w:trPr>
          <w:trHeight w:val="682" w:hRule="atLeast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Глава города Бердска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color w:val="B2B2B2"/>
                <w:kern w:val="0"/>
                <w:sz w:val="28"/>
                <w:szCs w:val="28"/>
                <w:lang w:val="ru-RU" w:eastAsia="en-US" w:bidi="ar-SA"/>
              </w:rPr>
              <w:t>[МЕСТО ДЛЯ ПОДПИСИ]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uppressAutoHyphens w:val="true"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Р.В. Бурдин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5954"/>
        <w:jc w:val="center"/>
        <w:rPr/>
      </w:pPr>
      <w:r>
        <w:rPr>
          <w:sz w:val="28"/>
          <w:szCs w:val="28"/>
        </w:rPr>
        <w:t>города Бердска</w:t>
      </w:r>
    </w:p>
    <w:p>
      <w:pPr>
        <w:pStyle w:val="Normal"/>
        <w:spacing w:before="240" w:after="0"/>
        <w:ind w:left="6237"/>
        <w:rPr/>
      </w:pPr>
      <w:r>
        <w:rPr>
          <w:sz w:val="28"/>
          <w:szCs w:val="28"/>
        </w:rPr>
        <w:t>от __________ № ____________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 регламент </w:t>
      </w:r>
      <w:r>
        <w:rPr>
          <w:b/>
          <w:sz w:val="28"/>
          <w:szCs w:val="28"/>
        </w:rPr>
        <w:t>администрации города Бердска</w:t>
      </w:r>
      <w:r>
        <w:rPr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ind w:hanging="0" w:left="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Перевод жилого помещения в нежилое помещение и нежилого помещения в жилое помещение»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физическим лицам, юридическим лицам, уполномоченному представителю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ind w:hanging="0" w:left="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 xml:space="preserve">администрацией города Бердска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переводом жилого помещения в нежилое и нежилого помещения в жилое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</w:tabs>
        <w:suppressAutoHyphens w:val="true"/>
        <w:bidi w:val="0"/>
        <w:spacing w:before="0" w:after="160"/>
        <w:ind w:hanging="0" w:left="0" w:righ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  </w:t>
      </w:r>
      <w:r>
        <w:rPr>
          <w:sz w:val="28"/>
          <w:szCs w:val="28"/>
          <w:lang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21" w:leader="none"/>
        </w:tabs>
        <w:suppressAutoHyphens w:val="true"/>
        <w:bidi w:val="0"/>
        <w:spacing w:before="0" w:after="160"/>
        <w:ind w:hanging="0" w:left="0" w:righ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  </w:t>
      </w:r>
      <w:r>
        <w:rPr>
          <w:sz w:val="28"/>
          <w:szCs w:val="28"/>
          <w:lang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посредством Единого портала, в Органе местного самоуправления, в МФЦ, посредством почтовой связи, почтовым отправлением.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45 календарных дней с даты регистрации заявления о предоставлении услуги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</w:t>
        <w:br/>
        <w:t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помещение включает зал ожидания и места для приема граждан;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а также инвалидами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eastAsia="ru-RU"/>
        </w:rPr>
        <w:t>показателям доступности предоставления услуги относятся: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доступность электронных форм документов,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возможность подачи запроса на получение муниципальной услуги и документов в электронной форме;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0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left="680"/>
        <w:contextualSpacing/>
        <w:jc w:val="both"/>
        <w:rPr/>
      </w:pP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1"/>
          <w:numId w:val="7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предоставление муниципальной услуги в соответствии с вариантом предоставления муниципальной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7"/>
          <w:szCs w:val="27"/>
        </w:rP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680" w:left="0"/>
        <w:contextualSpacing/>
        <w:jc w:val="both"/>
        <w:rPr/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подготовка проекта переустройства и (или) перепланировки переводимого помещения (за предоставление указанной услуги предусмотрена плата);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недвижимости», технического паспорта (за предоставление указанной услуги предусмотрена плата);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подготовка проектной документации (за предоставление указанной услуги предусмотрена плата, установленная законодательством Российской Федерации).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>.</w:t>
      </w:r>
      <w:bookmarkEnd w:id="0"/>
    </w:p>
    <w:p>
      <w:pPr>
        <w:pStyle w:val="Normal"/>
        <w:tabs>
          <w:tab w:val="clear" w:pos="1134"/>
          <w:tab w:val="left" w:pos="1021" w:leader="none"/>
        </w:tabs>
        <w:spacing w:before="0"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переводом жилого помещения в нежилое и нежилого помещения в жилое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Вариант 1: физическое лицо, заявитель, право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Вариант 2: физическое лицо, заявитель, право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Вариант 3: физическое лицо, заявитель, право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Вариант 4: физическое лицо, заявитель, право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Вариант 5: физическое лицо, заявитель, право не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Вариант 6: физическое лицо, заявитель, право не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Вариант 7: физическое лицо, заявитель, право не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Вариант 8: физическое лицо, заявитель, право не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Вариант 9: физическое лицо, представитель, право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Вариант 10: физическое лицо, представитель, право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Вариант 11: физическое лицо, представитель, право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Вариант 12: физическое лицо, представитель, право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Вариант 13: физическое лицо, представитель, право не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Вариант 14: физическое лицо, представитель, право не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Вариант 15: физическое лицо, представитель, право не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Вариант 16: физическое лицо, представитель, право не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Вариант 17: юридическое лицо, заявитель, право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Вариант 18: юридическое лицо, заявитель, право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Вариант 19: юридическое лицо, заявитель, право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Вариант 20: юридическое лицо, заявитель, право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Вариант 21: юридическое лицо, заявитель, право не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Вариант 22: юридическое лицо, заявитель, право не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Вариант 23: юридическое лицо, заявитель, право не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Вариант 24: юридическое лицо, заявитель, право не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Вариант 25: юридическое лицо, представитель, право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Вариант 26: юридическое лицо, представитель, право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Вариант 27: юридическое лицо, представитель, право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Вариант 28: юридическое лицо, представитель, право зарегистрировано в ЕГРН, нежилое,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Вариант 29: юридическое лицо, представитель, право не зарегистрировано в ЕГРН, 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Вариант 30: юридическое лицо, представитель, право не зарегистрировано в ЕГРН, жилое, переустройство и (или) перепланировка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Вариант 31: юридическое лицо, представитель, право не зарегистрировано в ЕГРН, нежилое, переустройство и (или) перепланировка не требуется;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Вариант 32: юридическое лицо, представитель, право не зарегистрировано в ЕГРН, нежилое, переустройство и (или) перепланировка требуется.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Вариант 33: юридическое лицо;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Вариант 34: физическое лицо.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оставления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почтовой связи;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  <w:lang w:eastAsia="ru-RU"/>
        </w:rPr>
        <w:t>в общедоступном для ознакомления месте.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возможность перевода жилого помещения в нежилое помещение, – протокол общего собрания собственников помещений в многоквартирном доме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согласие каждого собственника всех помещений, примыкающих к переводимому помещению, – согласие каждого собственника всех помещений, примыкающих к переводимому помещению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35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 (документ на бумажном носителе, электронный документ, подписанный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посредством почтовой связи, 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интерактивная форма;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документ на объекты недвижимости права на которые не зарегистрированы в Едином государственном реестре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проект переустройства и (или) перепланировки помещения, – проект переустройства и (или) перепланировки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документа, заверенного в порядке, установленном законодательством Российской Федерации;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поэтажного плана дома, в котором расположено переводимое помещение, – поэтажный план дома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получение технического  паспорта помещения, – технический паспорт помещения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скан-образ; посредством почтовой связи: копия документа; в МФЦ: копия документа; в Органе местного самоуправления: копия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лица, – выписка из Единого государственного реестра юридических лиц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Единого портала: скан-копия документа; посредством почтовой связи: копия документа; в МФЦ: копия документа; в Органе местного самоуправления: копия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личность заявителя не подтверждена.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Технический паспорт»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«ГБУ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«федеральная государственная информационная система "Единая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Поэтажный план дома, в котором находится переводимое помещение»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ГБУ НСО «ЦКО и БТИ»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 рабочих дня с даты регистрации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получения ответа на указанный информационный запрос составляет не более 2 рабочих дней с даты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заявление о предоставлении услуги подано в орган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30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 переводе жилого помещения в нежилое помещение и нежилого помещения в жилое помещение;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портала, посредством почтовой связи, в МФЦ, 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переводе жилого помещения в нежилое помещение и нежилого помещения в жилое помещение.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заявителя, – документ, подтверждающий полномочия представителя Заявителя ().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заявителя, не представлен;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 выданных в результате предоставления государственной услуги документах не содержатся опечатки и (или) ошибки.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  <w:lang w:eastAsia="ru-RU"/>
        </w:rPr>
        <w:t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hanging="357" w:left="1429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постановлениями от 13.09.2024 № 3766/65, от 13.09.2024 № 3767/65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заявителя, – документ, подтверждающий полномочия представителя Заявителя ().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заявителя, не представлен;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 выданных в результате предоставления государственной услуги документах не содержатся опечатки и (или) ошибки.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  <w:lang w:eastAsia="ru-RU"/>
        </w:rPr>
        <w:t>4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>начальником 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hanging="0" w:left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Едином портале, в устной форме по телефону и (или) при личном приеме, в письменной форме почтовым отправлением по адресу, указанному заявителем (представителем), на официальном сайте Органа власти в информационной сети «Интернет«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официального сайта Губернатора Новосибирской области, через портал Федеральной государственной информационной системы «Досудебное обжалование» http://do.gosuslugi.ru,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в Органе местного самоуправления при личном обращении.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hanging="0" w:left="6237"/>
        <w:jc w:val="center"/>
        <w:outlineLvl w:val="0"/>
        <w:rPr/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jc w:val="center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ind w:left="6237"/>
        <w:jc w:val="center"/>
        <w:rPr/>
      </w:pPr>
      <w:r>
        <w:rPr>
          <w:sz w:val="28"/>
          <w:szCs w:val="28"/>
          <w:lang w:val="en-US"/>
        </w:rPr>
        <w:t>от __________ № __________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Перевод жилого помещения в нежилое и нежилого помещения в жилое»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не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не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не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заявитель, право не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11.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12.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13.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14.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не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15.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16.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Физическое лицо,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17.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18.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19.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20.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21.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не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22.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не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23.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не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24.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заявитель, право не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25.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26.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27.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28.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29.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не зарегистрировано в ЕГРН, 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30.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не зарегистрировано в ЕГРН, жилое, переустройство и (или) перепланировка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31.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не зарегистрировано в ЕГРН, нежилое, переустройство и (или) перепланировка не требуется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32.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ru-RU" w:eastAsia="en-US" w:bidi="ar-SA"/>
              </w:rPr>
              <w:t>Юридическое лицо, представитель, право не зарегистрировано в ЕГРН, нежилое, переустройство и (или) перепланировка требуется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33.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34.</w:t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2969"/>
        <w:gridCol w:w="5962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Перевод жилого помещения в нежилое и нежилого помещения в жилое»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 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Представитель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Право на помещение зарегистрировано в ЕГРН?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1. Право зарегистрировано в ЕГРН.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2. Право не зарегистрировано в ЕГРН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Какой сейчас тип у помещения?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Жилое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Нежилое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1. Переустройство и (или) перепланировка не требуется.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2. Переустройство и (или) перепланировка требуется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Spacing"/>
        <w:numPr>
          <w:ilvl w:val="0"/>
          <w:numId w:val="0"/>
        </w:numPr>
        <w:ind w:hanging="0"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sectPr>
      <w:headerReference w:type="even" r:id="rId6"/>
      <w:headerReference w:type="default" r:id="rId7"/>
      <w:headerReference w:type="first" r:id="rId8"/>
      <w:footnotePr>
        <w:numFmt w:val="decimal"/>
      </w:footnotePr>
      <w:type w:val="nextPage"/>
      <w:pgSz w:w="11906" w:h="16838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165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5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suppressAutoHyphens w:val="true"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suppressAutoHyphens w:val="true"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4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5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InternetLink" w:customStyle="1">
    <w:name w:val="Internet Link"/>
    <w:uiPriority w:val="99"/>
    <w:unhideWhenUsed/>
    <w:qFormat/>
    <w:rPr>
      <w:color w:themeColor="hyperlink" w:val="0563C1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16" w:customStyle="1">
    <w:name w:val="Символ сноски"/>
    <w:qFormat/>
    <w:rPr/>
  </w:style>
  <w:style w:type="character" w:styleId="Style17" w:customStyle="1">
    <w:name w:val="Символ концевой сноски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Style18" w:customStyle="1">
    <w:name w:val="Символ нумерации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AnnotationText">
    <w:name w:val="Annotation Text"/>
    <w:basedOn w:val="Normal"/>
    <w:link w:val="Style8"/>
    <w:uiPriority w:val="99"/>
    <w:unhideWhenUsed/>
    <w:rsid w:val="00c955f6"/>
    <w:pPr/>
    <w:rPr>
      <w:szCs w:val="20"/>
    </w:rPr>
  </w:style>
  <w:style w:type="paragraph" w:styleId="BalloonText">
    <w:name w:val="Balloon Text"/>
    <w:basedOn w:val="Normal"/>
    <w:link w:val="Style9"/>
    <w:qFormat/>
    <w:pPr/>
    <w:rPr>
      <w:rFonts w:ascii="Tahoma" w:hAnsi="Tahoma" w:cs="Tahoma"/>
      <w:sz w:val="16"/>
      <w:szCs w:val="16"/>
      <w:lang w:eastAsia="zh-CN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4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Caption1" w:customStyle="1">
    <w:name w:val="Caption1"/>
    <w:basedOn w:val="Normal"/>
    <w:qFormat/>
    <w:pPr>
      <w:spacing w:before="120" w:after="120"/>
    </w:pPr>
    <w:rPr>
      <w:rFonts w:cs="Droid Sans"/>
      <w:i/>
      <w:iCs/>
      <w:sz w:val="24"/>
      <w:szCs w:val="24"/>
      <w:lang w:eastAsia="zh-CN"/>
    </w:rPr>
  </w:style>
  <w:style w:type="paragraph" w:styleId="Caption2" w:customStyle="1">
    <w:name w:val="Caption2"/>
    <w:basedOn w:val="Normal"/>
    <w:qFormat/>
    <w:pPr>
      <w:spacing w:before="120" w:after="120"/>
    </w:pPr>
    <w:rPr>
      <w:rFonts w:cs="Droid Sans"/>
      <w:i/>
      <w:iCs/>
      <w:sz w:val="24"/>
      <w:szCs w:val="24"/>
      <w:lang w:eastAsia="zh-CN"/>
    </w:rPr>
  </w:style>
  <w:style w:type="numbering" w:styleId="Style22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2">
    <w:name w:val="Table Grid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00ED-5EDE-49FF-8ACA-A828B1F3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LibreOffice/24.2.4.2$Linux_X86_64 LibreOffice_project/51a6219feb6075d9a4c46691dcfe0cd9c4fff3c2</Application>
  <AppVersion>15.0000</AppVersion>
  <Pages>167</Pages>
  <Words>46850</Words>
  <Characters>371659</Characters>
  <CharactersWithSpaces>415485</CharactersWithSpaces>
  <Paragraphs>2317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2024-09-24T02:49:00Z</dcterms:created>
  <dc:creator>Кузнецов Виталий Геннадиевич</dc:creator>
  <dc:description/>
  <dc:language>ru-RU</dc:language>
  <cp:lastModifiedBy/>
  <dcterms:modified xsi:type="dcterms:W3CDTF">2024-09-26T10:09:55Z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