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ЖИЛИЩНО-КОММУНАЛЬНОГО ХОЗЯЙСТВА И ЭНЕРГЕТИКИ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8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 внесении изменений в постановление Правительства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от 30.03.2022 № 144-п»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Новосибирской области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постановление Правительства Новосибирской области от 30.03.2022 № 144-п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перечня поручений Президента Российской Федерации по реализации Послания Президента Российской Федерации Федеральному Собранию Российской 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едерации от 21 апреля 2021 г. от 02.05.2021 № Пр-753, перечня поручений Президента Российской Федерации по итогам пленарного заседания V Международного форума «Российская энергетическая неделя» 12 октября 2022 г. от 30.10.2022 № Пр-2067 по догазификации бе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 привлечения средств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 соответствии с пунктом 11 раздела IV «Порядок работы регионального штаба» постановления Правительства Новосибирской области от 16.02.2022 № 51-п актуальная вер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сия пообъектного и сводного планов-графиков догазификации Новосибирской области утверждается заместителем руководителя регионального штаба – заместителем Губернатора Новосибирской области Сёмкой С.Н. и размещается на официальном сайте МЖКХиЭ НСО по ссылке </w:t>
      </w:r>
      <w:hyperlink r:id="rId9" w:tooltip="https://mjkh.nso.ru/page/5619" w:history="1">
        <w:r>
          <w:rPr>
            <w:rStyle w:val="855"/>
            <w:rFonts w:ascii="Times New Roman" w:hAnsi="Times New Roman" w:eastAsia="Times New Roman" w:cs="Times New Roman"/>
            <w:color w:val="0000ee"/>
            <w:sz w:val="28"/>
            <w:szCs w:val="28"/>
            <w:u w:val="single"/>
          </w:rPr>
          <w:t xml:space="preserve">https://mjkh.nso.ru/page/5619</w:t>
        </w:r>
      </w:hyperlink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 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оследующим утверждением в рамках региональной программы газификации жилищно-коммунального хозяйства, промышленных и иных организаций на территории Новосибирской области, утвержденной постановлением Правительства Новосибирской области от 30.03.2022 № 144-п.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19.02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.2024 заместителем Губернатора Новосибирской области Сёмкой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С.Н.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актуальные пообъектный и сводный планы-графики догазифи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кации Новосибирской области.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Учитывая раннее использованный расчет финансирования мероприятий в рамках пообъектного план-графи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 догазификац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в укрупненных расценках, а также предварительный выбор трасс газопроводов, объемы финансирования программы не изменились. Точная стоимость мероприятий будет определена после завершения работ по проектированию и строительству газораспределительных сетей.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6"/>
          <w:lang w:eastAsia="ru-RU"/>
        </w:rPr>
        <w:t xml:space="preserve">В соответствии с постановлением Правительства Российской Федерации от</w:t>
      </w:r>
      <w:r>
        <w:rPr>
          <w:rFonts w:ascii="Times New Roman" w:hAnsi="Times New Roman" w:eastAsia="Times New Roman"/>
          <w:sz w:val="28"/>
          <w:szCs w:val="26"/>
          <w:lang w:eastAsia="ru-RU"/>
        </w:rPr>
        <w:t xml:space="preserve"> 13.09.2021</w:t>
      </w:r>
      <w:r>
        <w:rPr>
          <w:rFonts w:ascii="Times New Roman" w:hAnsi="Times New Roman" w:eastAsia="Times New Roman"/>
          <w:sz w:val="28"/>
          <w:szCs w:val="26"/>
          <w:lang w:eastAsia="ru-RU"/>
        </w:rPr>
        <w:t xml:space="preserve"> № 1550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«Об утверждении Правил взаимодействия единого оператора газификации, регионального оператора гази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мероприятий межрегиональных и региональных программ газификации жилищно-коммунального хозяйства, промышленных и иных организаций» финансирование мероприятий по догазификации ООО «Газпром газификация» возможно в случае их отражения в региональной программе.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настоящее время в связи с отсутствием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региональной программ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актуализированных плана мероприятий и пообъектного план-графика догазификации,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добрение заявок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финансирование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ряду объектов, газораспределительным организациям Новосибирской области, участвующим в догазификации,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 стороны ООО «Газпром газификация»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представляется возможным.</w:t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  <w:t xml:space="preserve">Также проектом постановления Новосибирской области приведен в соответствие уровень газификации населения на 2022 - 2026 годы в соответствие с разработанным ООО «ИНПЭС» в рамках государственного контракта от 23.06.2023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№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0851200000623003696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 фактического и прогнозного топливно-энергетического баланса Новосибирской области (далее – ТЭБ НСО).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В рамках научно исследовательской работы по разработке ТЭБ НСО ООО «ИНПЭС» выполнен расчет уровня газификации населения в соответствии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 приказом Минэнерго России от 2 апреля 2019 года № 308 «Об утверждении Методики расчета показателей газификации»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В соответствии с расчетами уровень газификации Новосибирской области на 2023 год составил 24,5 %.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Перечень правовых актов и других документов, послуживших основанием для подготовки проекта: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848"/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Перечень поручений Президента Российской Федерации по реализации Послания Президента Российской Федерации Федеральному Собранию Российской Федерации от 21 апреля 2021 г. от 02.05.2021 № Пр-753 (п. 8).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2. 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еречень поручений Президента Российской Федерации по итогам пленарного заседания V Международного форума «Российская энергетическая неделя» 12 октября 2022 г. от 30.10.2022 № Пр-2067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48"/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Постановление Правительства Росс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ийской Федерации от 10.09.2016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 Постановление Правительства Росс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ийской Федерации от 13.09.2021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5. Постановление Правительства Новосибирской области от 16.02.2022 № 51-п «О региональном штабе по газификации Новосибирской области».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 связи с финансированием региональной программы за счет внебюджетных средств и отсутствия средств областного и федерального бюджетов, согласование министерства финансов и налоговой политики Новосибирской области не требуется.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4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Принятие проекта постановления не повлечет за собой изменение иных (других) нормативных правовых актов.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едставленный проект постановления не подлежит оценке регулирующего воздействия, поскольку не устанавливает новые и не изменяет ранее предусмотренные нормативно-правовыми актами Новосибирской области обязанности для субъектов предпринимательской и инвестици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онной деятельности, а также не устанавливает, не изменяет и не отменяет ранее установленную ответственность за нарушение нормативно-правовых актов Новосибирской области, затрагивающих вопросы осуществления предпринимательской и инвестиционной деятельности.</w:t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Д.Н. Архипов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Д.К. Сапожков</w:t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238 74 79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567" w:bottom="1135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9">
    <w:name w:val="Основной шрифт абзаца"/>
    <w:next w:val="849"/>
    <w:link w:val="848"/>
    <w:uiPriority w:val="1"/>
    <w:unhideWhenUsed/>
  </w:style>
  <w:style w:type="table" w:styleId="850">
    <w:name w:val="Обычная таблица"/>
    <w:next w:val="850"/>
    <w:link w:val="848"/>
    <w:uiPriority w:val="99"/>
    <w:semiHidden/>
    <w:unhideWhenUsed/>
    <w:tblPr/>
  </w:style>
  <w:style w:type="numbering" w:styleId="851">
    <w:name w:val="Нет списка"/>
    <w:next w:val="851"/>
    <w:link w:val="848"/>
    <w:uiPriority w:val="99"/>
    <w:semiHidden/>
    <w:unhideWhenUsed/>
  </w:style>
  <w:style w:type="paragraph" w:styleId="852">
    <w:name w:val="Текст выноски"/>
    <w:basedOn w:val="848"/>
    <w:next w:val="852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>
    <w:name w:val="Текст выноски Знак"/>
    <w:next w:val="853"/>
    <w:link w:val="85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54">
    <w:name w:val="ConsPlusNormal"/>
    <w:next w:val="854"/>
    <w:link w:val="848"/>
    <w:rPr>
      <w:rFonts w:ascii="Times New Roman" w:hAnsi="Times New Roman" w:eastAsia="Times New Roman"/>
      <w:sz w:val="28"/>
      <w:szCs w:val="28"/>
      <w:lang w:val="ru-RU" w:eastAsia="en-US" w:bidi="ar-SA"/>
    </w:rPr>
  </w:style>
  <w:style w:type="character" w:styleId="855">
    <w:name w:val="Гиперссылка"/>
    <w:next w:val="855"/>
    <w:link w:val="848"/>
    <w:uiPriority w:val="99"/>
    <w:semiHidden/>
    <w:unhideWhenUsed/>
    <w:rPr>
      <w:color w:val="0000ff"/>
      <w:u w:val="single"/>
    </w:rPr>
  </w:style>
  <w:style w:type="paragraph" w:styleId="856">
    <w:name w:val="Верхний колонтитул"/>
    <w:basedOn w:val="848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48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mjkh.nso.ru/page/56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21</cp:revision>
  <dcterms:created xsi:type="dcterms:W3CDTF">2023-02-01T03:57:00Z</dcterms:created>
  <dcterms:modified xsi:type="dcterms:W3CDTF">2024-02-28T06:51:36Z</dcterms:modified>
  <cp:version>1048576</cp:version>
</cp:coreProperties>
</file>