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10065"/>
      </w:tblGrid>
      <w:tr>
        <w:trPr>
          <w:trHeight w:val="2698"/>
        </w:trPr>
        <w:tc>
          <w:tcPr>
            <w:tcW w:w="10065" w:type="dxa"/>
            <w:textDirection w:val="lrTb"/>
            <w:noWrap w:val="false"/>
          </w:tcPr>
          <w:p>
            <w:pPr>
              <w:ind w:right="-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3875" cy="600075"/>
                      <wp:effectExtent l="19050" t="0" r="952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2pt;height:47.2pt;mso-wrap-distance-left:0.0pt;mso-wrap-distance-top:0.0pt;mso-wrap-distance-right:0.0pt;mso-wrap-distance-bottom:0.0pt;" stroked="f" strokeweight="0.75pt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  <w:p>
            <w:pPr>
              <w:ind w:right="-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ind w:right="-2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ТРУДА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СОЦИАЛЬНОГО РАЗВИТИЯ</w:t>
            </w:r>
            <w:r/>
          </w:p>
          <w:p>
            <w:pPr>
              <w:ind w:right="-2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/>
          </w:p>
          <w:p>
            <w:pPr>
              <w:ind w:right="-2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  <w:p>
            <w:pPr>
              <w:ind w:right="-2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/>
          </w:p>
          <w:p>
            <w:pPr>
              <w:ind w:right="-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413"/>
              <w:gridCol w:w="6553"/>
              <w:gridCol w:w="571"/>
              <w:gridCol w:w="1312"/>
            </w:tblGrid>
            <w:tr>
              <w:trPr>
                <w:trHeight w:val="333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1436" w:type="dxa"/>
                  <w:textDirection w:val="lrTb"/>
                  <w:noWrap w:val="false"/>
                </w:tcPr>
                <w:p>
                  <w:pPr>
                    <w:ind w:right="-2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6685" w:type="dxa"/>
                  <w:textDirection w:val="lrTb"/>
                  <w:noWrap w:val="false"/>
                </w:tcPr>
                <w:p>
                  <w:pPr>
                    <w:ind w:right="-2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572" w:type="dxa"/>
                  <w:textDirection w:val="lrTb"/>
                  <w:noWrap w:val="false"/>
                </w:tcPr>
                <w:p>
                  <w:pPr>
                    <w:ind w:right="-2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№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1334" w:type="dxa"/>
                  <w:textDirection w:val="lrTb"/>
                  <w:noWrap w:val="false"/>
                </w:tcPr>
                <w:p>
                  <w:pPr>
                    <w:ind w:right="-2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359"/>
              </w:trPr>
              <w:tc>
                <w:tcPr>
                  <w:gridSpan w:val="4"/>
                  <w:tcW w:w="10028" w:type="dxa"/>
                  <w:textDirection w:val="lrTb"/>
                  <w:noWrap w:val="false"/>
                </w:tcPr>
                <w:p>
                  <w:pPr>
                    <w:ind w:right="-2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/>
                </w:p>
                <w:p>
                  <w:pPr>
                    <w:ind w:right="-2"/>
                    <w:jc w:val="center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Новосибирск</w:t>
                  </w:r>
                  <w:r/>
                </w:p>
                <w:p>
                  <w:pPr>
                    <w:ind w:right="-2"/>
                    <w:jc w:val="center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/>
                </w:p>
              </w:tc>
            </w:tr>
          </w:tbl>
          <w:p>
            <w:pPr>
              <w:ind w:right="-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создании конкурсной комиссии по проведению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конкурсного отбора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некоммерческих организаций, не являющихся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государственными (муниципальными) учреждениями, для оказания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услуг в сфере социального обслуживания граждан в целях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реализации пилотного проекта по созданию системы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долговременного ухода за граждан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пожилого возраста и инвалидами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территории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ind w:right="-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ind w:right="-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36"/>
              <w:ind w:firstLine="708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азом Министерства труда и социальной защиты Российской Федерации от 15.12.2022 № 781 «О реализации в отдельных субъектах Российской Федерации в 2023 году Типовой модели системы долговременного ухода за гражданами пожилого возраста и инвалидами, нуждающимис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 уходе»,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Новоси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бирской области от 26.12.2022 № 618-п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Плане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мероприятий («Дорожной карт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созданию системы долговременного ухода за гражданами пожилого возраста и инвалидами, нуждающимися в уходе,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Новосибирской области в 2023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ind w:right="-2" w:firstLine="74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ПРИКАЗЫВАЮ:</w:t>
            </w:r>
            <w:r/>
          </w:p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  <w:p>
            <w:pPr>
              <w:ind w:right="-2" w:firstLine="743"/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 Создать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конкурсную комиссию по проведению отбора некоммерческих организаций, не являющихся государственными (муниципальными) учреждениями,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для оказания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услуг в сфере социального обслуживания граждан в целях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реализации пилотного проекта по созданию системы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долговременного ухода за граждан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пожилого возраста и инвалидами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территории Новосибирской области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  <w:p>
            <w:pPr>
              <w:ind w:right="-2" w:firstLine="74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Утвердить прилагаемые:</w:t>
            </w:r>
            <w:r/>
          </w:p>
          <w:p>
            <w:pPr>
              <w:ind w:right="-2" w:firstLine="743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 положение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конкурсной комиссии по проведению конкурсного отбора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некоммерческих организаций, не являющихся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государственными (муниципальными) учреждениями, для оказания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услуг в сфере социального обслуживания граждан в целях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реализации пилотного проекта по созданию системы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долговременного ухода за граждан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пожилого возраста и инвалидами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территории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/>
          </w:p>
          <w:p>
            <w:pPr>
              <w:ind w:right="-2" w:firstLine="743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 состав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конкурсной комиссии по проведению конкурсного отбора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некоммерческих организаций, не являющихся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государственными (муниципальными) учреждениями, для оказания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услуг в сфере социального обслуживания граждан в целях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реализации пилотного проекта по созданию системы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долговременного ухода за граждан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пожилого возраста и инвалидами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территории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 –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конкурсная комиссия);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  <w:p>
            <w:pPr>
              <w:ind w:right="-2" w:firstLine="743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  <w:t xml:space="preserve">3) форму заявки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 участие в конкурсном отборе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некоммерческих организаций, не являющихся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государственными (муниципальными) учреждениями, для оказания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услуг в сфере социального обслуживания граждан в целях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реализации пилотного проекта по созданию системы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долговременного ухода за граждан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ами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пожилого возраста и инвалидами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на территории Новосибирской области (далее – конкурсный отбор)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  <w:p>
            <w:pPr>
              <w:ind w:right="-2" w:firstLine="743"/>
              <w:jc w:val="both"/>
              <w:spacing w:after="0" w:line="240" w:lineRule="auto"/>
              <w:widowControl w:val="off"/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4) перечень документов, предоставляемых участниками конкурсного отбора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, подтверждающих их соответствие критериям, установленным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Порядком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определения объема 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предоставления субсидий некоммерческим организациям, не являющимся государств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енными (муниципальными) учреждениями, на оказание услуг в сфере социального обслуживания граждан в целях реализации пилотного проекта по созданию системы долговременного ухода за гражданами пожилого возраста и инвалидами на территории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</w:t>
            </w:r>
            <w:r/>
          </w:p>
          <w:p>
            <w:pPr>
              <w:ind w:right="-2" w:firstLine="743"/>
              <w:jc w:val="both"/>
              <w:spacing w:after="0" w:line="240" w:lineRule="auto"/>
              <w:tabs>
                <w:tab w:val="left" w:pos="592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 Конкурсной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срок до 01.12.2023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обеспечить проведение конкурсного отбора и подведение его итогов.</w:t>
            </w:r>
            <w:r/>
          </w:p>
          <w:p>
            <w:pPr>
              <w:ind w:right="-2"/>
              <w:jc w:val="both"/>
              <w:spacing w:after="0" w:line="240" w:lineRule="auto"/>
              <w:tabs>
                <w:tab w:val="left" w:pos="743" w:leader="none"/>
                <w:tab w:val="left" w:pos="1077" w:leader="none"/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Контроль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приказа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оставляю за собой.</w:t>
            </w:r>
            <w:r/>
          </w:p>
          <w:p>
            <w:pPr>
              <w:ind w:right="-2"/>
              <w:spacing w:after="0" w:line="240" w:lineRule="auto"/>
              <w:tabs>
                <w:tab w:val="left" w:pos="825" w:leader="none"/>
                <w:tab w:val="left" w:pos="9472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ind w:right="-2"/>
              <w:spacing w:after="0" w:line="240" w:lineRule="auto"/>
              <w:tabs>
                <w:tab w:val="left" w:pos="825" w:leader="none"/>
                <w:tab w:val="left" w:pos="9472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ind w:right="-2"/>
              <w:spacing w:after="0" w:line="240" w:lineRule="auto"/>
              <w:tabs>
                <w:tab w:val="left" w:pos="825" w:leader="none"/>
                <w:tab w:val="left" w:pos="9472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ind w:right="-2"/>
              <w:spacing w:after="0" w:line="240" w:lineRule="auto"/>
              <w:tabs>
                <w:tab w:val="left" w:pos="825" w:leader="none"/>
                <w:tab w:val="left" w:pos="9472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Е.В. Бахарева</w:t>
            </w:r>
            <w:r/>
          </w:p>
        </w:tc>
      </w:tr>
    </w:tbl>
    <w:p>
      <w:pPr>
        <w:ind w:right="-2"/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ind w:right="-2"/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</w:pPr>
      <w:r/>
      <w:bookmarkStart w:id="0" w:name="undefined"/>
      <w:r/>
      <w:bookmarkEnd w:id="0"/>
      <w:r>
        <w:rPr>
          <w:rFonts w:ascii="Times New Roman" w:hAnsi="Times New Roman"/>
          <w:sz w:val="20"/>
          <w:szCs w:val="20"/>
        </w:rPr>
      </w:r>
      <w:r/>
    </w:p>
    <w:tbl>
      <w:tblPr>
        <w:tblStyle w:val="847"/>
        <w:tblW w:w="4252" w:type="dxa"/>
        <w:tblInd w:w="563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252"/>
      </w:tblGrid>
      <w:tr>
        <w:trPr/>
        <w:tc>
          <w:tcPr>
            <w:tcW w:w="4252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УТВЕРЖДЕНО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приказом министерства труда и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социального развития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от «__» __________ № __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/>
          </w:p>
        </w:tc>
      </w:tr>
    </w:tbl>
    <w:p>
      <w:pPr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/>
          <w:b/>
          <w:sz w:val="28"/>
          <w:szCs w:val="28"/>
        </w:rPr>
        <w:t xml:space="preserve">ПОЛОЖЕНИЕ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/>
          <w:b/>
          <w:sz w:val="28"/>
          <w:szCs w:val="28"/>
        </w:rPr>
        <w:t xml:space="preserve">о конкурсной 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 проведению конкурсного отбора </w:t>
      </w:r>
      <w:r>
        <w:rPr>
          <w:rFonts w:ascii="Times New Roman" w:hAnsi="Times New Roman"/>
          <w:b/>
          <w:bCs/>
          <w:sz w:val="28"/>
          <w:szCs w:val="28"/>
        </w:rPr>
        <w:t xml:space="preserve">некоммерческих организаций, не являющихся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государственными (муниципальными) учреждениями, для оказания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услуг в сфере социального обслуживания граждан в целях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реализации пилотного проекта по созданию системы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долговременного ухода за граждан</w:t>
      </w:r>
      <w:r>
        <w:rPr>
          <w:rFonts w:ascii="Times New Roman" w:hAnsi="Times New Roman"/>
          <w:b/>
          <w:bCs/>
          <w:sz w:val="28"/>
          <w:szCs w:val="28"/>
        </w:rPr>
        <w:t xml:space="preserve">ами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пожилого возраста и инвалидами</w:t>
      </w:r>
      <w:r>
        <w:rPr>
          <w:rFonts w:ascii="Times New Roman" w:hAnsi="Times New Roman"/>
          <w:b/>
          <w:bCs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(далее 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порядок)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Конкурсная комиссия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о проведению конкурсного отбора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некоммерческих организаций, не являющихся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государственными (муниципальными) учреждениями, для оказания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услуг в сфере социального обслуживания граждан в целях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реализации пилотного проекта по созданию системы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долговременного ухода за граждан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ами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пожилого возраста и инвалидами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(далее – конкурсная комиссия, конкурсный отбор) </w:t>
      </w:r>
      <w:r>
        <w:rPr>
          <w:rFonts w:ascii="Times New Roman" w:hAnsi="Times New Roman"/>
          <w:sz w:val="28"/>
          <w:szCs w:val="28"/>
        </w:rPr>
        <w:t xml:space="preserve">создается в целях отбора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некоммерческих организаций, не являющихся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государственными (муниципальными) учреждениями, для оказания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услуг в сфере социального обслуживания граждан в целях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реализации пилотного проекта по созданию системы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долговременного ухода за граждан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ами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пожилого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возраста и инвалидами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пилотный проект), в рамках выполнения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Правительства Новоси</w:t>
      </w:r>
      <w:r>
        <w:rPr>
          <w:rFonts w:ascii="Times New Roman" w:hAnsi="Times New Roman"/>
          <w:sz w:val="28"/>
          <w:szCs w:val="28"/>
        </w:rPr>
        <w:t xml:space="preserve">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Новоси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 от 26.12.2022 № 618-п «</w:t>
      </w:r>
      <w:r>
        <w:rPr>
          <w:rFonts w:ascii="Times New Roman" w:hAnsi="Times New Roman"/>
          <w:bCs/>
          <w:sz w:val="28"/>
          <w:szCs w:val="28"/>
        </w:rPr>
        <w:t xml:space="preserve">О Плане</w:t>
      </w:r>
      <w:r>
        <w:rPr>
          <w:rFonts w:ascii="Times New Roman" w:hAnsi="Times New Roman"/>
          <w:bCs/>
          <w:sz w:val="28"/>
          <w:szCs w:val="28"/>
        </w:rPr>
        <w:t xml:space="preserve"> мероприятий («Дорожной карт</w:t>
      </w:r>
      <w:r>
        <w:rPr>
          <w:rFonts w:ascii="Times New Roman" w:hAnsi="Times New Roman"/>
          <w:bCs/>
          <w:sz w:val="28"/>
          <w:szCs w:val="28"/>
        </w:rPr>
        <w:t xml:space="preserve">е</w:t>
      </w:r>
      <w:r>
        <w:rPr>
          <w:rFonts w:ascii="Times New Roman" w:hAnsi="Times New Roman"/>
          <w:bCs/>
          <w:sz w:val="28"/>
          <w:szCs w:val="28"/>
        </w:rPr>
        <w:t xml:space="preserve">») </w:t>
      </w:r>
      <w:r>
        <w:rPr>
          <w:rFonts w:ascii="Times New Roman" w:hAnsi="Times New Roman"/>
          <w:sz w:val="28"/>
          <w:szCs w:val="28"/>
        </w:rPr>
        <w:t xml:space="preserve">по созданию системы долговременного ухода за гражданами пожилого возраста и инвалидами, нуждающимися в уходе,</w:t>
      </w:r>
      <w:r>
        <w:rPr>
          <w:rFonts w:ascii="Times New Roman" w:hAnsi="Times New Roman"/>
          <w:sz w:val="28"/>
          <w:szCs w:val="28"/>
        </w:rPr>
        <w:t xml:space="preserve"> на территории Новосибирской области в 2023 году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 – постановление № </w:t>
      </w:r>
      <w:r>
        <w:rPr>
          <w:rFonts w:ascii="Times New Roman" w:hAnsi="Times New Roman"/>
          <w:sz w:val="28"/>
          <w:szCs w:val="28"/>
        </w:rPr>
        <w:t xml:space="preserve">618-п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2. </w:t>
      </w:r>
      <w:r>
        <w:rPr>
          <w:rFonts w:ascii="Times New Roman" w:hAnsi="Times New Roman"/>
          <w:sz w:val="28"/>
          <w:szCs w:val="28"/>
        </w:rPr>
        <w:t xml:space="preserve">В своей деятельности конкурсная комиссия руководствуется действующим законодательством Российской Федерации и законодательством Новосибирской области.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3. </w:t>
      </w:r>
      <w:r>
        <w:rPr>
          <w:rFonts w:ascii="Times New Roman" w:hAnsi="Times New Roman"/>
          <w:sz w:val="28"/>
          <w:szCs w:val="28"/>
        </w:rPr>
        <w:t xml:space="preserve">Организационно-техническое обеспечение деятельности конкурсной комиссии, включая хранение документов конкурсной комиссии, осуществляется министерством труда и социального развития Новосибирской области (далее – министерство).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4. </w:t>
      </w:r>
      <w:r>
        <w:rPr>
          <w:rFonts w:ascii="Times New Roman" w:hAnsi="Times New Roman"/>
          <w:sz w:val="28"/>
          <w:szCs w:val="28"/>
        </w:rPr>
        <w:t xml:space="preserve">Решение о проведении конкурсного отбора принимается на основании приказа министерства, в котором определяется срок проведения конкурсного отбора.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5. </w:t>
      </w:r>
      <w:r>
        <w:rPr>
          <w:rFonts w:ascii="Times New Roman" w:hAnsi="Times New Roman"/>
          <w:sz w:val="28"/>
          <w:szCs w:val="28"/>
        </w:rPr>
        <w:t xml:space="preserve">В состав конкурсной комиссии входят председатель, заместитель председателя, секретарь и члены конкурсной комиссии.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Состав конкурсной комиссии утверждается приказом министерства.</w:t>
      </w:r>
      <w:r>
        <w:rPr>
          <w:rFonts w:ascii="Times New Roman" w:hAnsi="Times New Roman"/>
          <w:sz w:val="28"/>
          <w:szCs w:val="28"/>
          <w:highlight w:val="yellow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В случае если участие в заседании конкурсной комиссии може</w:t>
      </w:r>
      <w:r>
        <w:rPr>
          <w:rFonts w:ascii="Times New Roman" w:hAnsi="Times New Roman"/>
          <w:sz w:val="28"/>
          <w:szCs w:val="28"/>
        </w:rPr>
        <w:t xml:space="preserve">т повлечь за собой конфликт интересов по вопросам, рассматриваемым на заседании, члены конкурсной комиссии обязаны сообщить в письменной форме о конфликте интересов председателю, а также заявить самоотвод до начала проведения заседания конкурсной комиссии.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6. </w:t>
      </w:r>
      <w:r>
        <w:rPr>
          <w:rFonts w:ascii="Times New Roman" w:hAnsi="Times New Roman"/>
          <w:sz w:val="28"/>
          <w:szCs w:val="28"/>
        </w:rPr>
        <w:t xml:space="preserve">Председатель конкурсной комиссии: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/>
          <w:sz w:val="28"/>
          <w:szCs w:val="28"/>
        </w:rPr>
        <w:t xml:space="preserve">организует работу конкурсной комиссии;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2) </w:t>
      </w:r>
      <w:r>
        <w:rPr>
          <w:rFonts w:ascii="Times New Roman" w:hAnsi="Times New Roman"/>
          <w:sz w:val="28"/>
          <w:szCs w:val="28"/>
        </w:rPr>
        <w:t xml:space="preserve">определяет место, дату и время проведения ее заседания;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3) </w:t>
      </w:r>
      <w:r>
        <w:rPr>
          <w:rFonts w:ascii="Times New Roman" w:hAnsi="Times New Roman"/>
          <w:sz w:val="28"/>
          <w:szCs w:val="28"/>
        </w:rPr>
        <w:t xml:space="preserve">обеспечивает уведомление членов конкурсной комиссии о месте, дате и времени проведения заседания;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4)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обеспечивает подготовку материалов к заседанию конкурсной комиссии;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5) </w:t>
      </w:r>
      <w:r>
        <w:rPr>
          <w:rFonts w:ascii="Times New Roman" w:hAnsi="Times New Roman"/>
          <w:sz w:val="28"/>
          <w:szCs w:val="28"/>
        </w:rPr>
        <w:t xml:space="preserve">организует работу по ведению протокола заседания конкурсной комиссии;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6) </w:t>
      </w:r>
      <w:r>
        <w:rPr>
          <w:rFonts w:ascii="Times New Roman" w:hAnsi="Times New Roman"/>
          <w:sz w:val="28"/>
          <w:szCs w:val="28"/>
        </w:rPr>
        <w:t xml:space="preserve">председательствует на заседании конкурсной комиссии;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7) </w:t>
      </w:r>
      <w:r>
        <w:rPr>
          <w:rFonts w:ascii="Times New Roman" w:hAnsi="Times New Roman"/>
          <w:sz w:val="28"/>
          <w:szCs w:val="28"/>
        </w:rPr>
        <w:t xml:space="preserve">руководит деятельностью конкурсной комиссии.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7. </w:t>
      </w:r>
      <w:r>
        <w:rPr>
          <w:rFonts w:ascii="Times New Roman" w:hAnsi="Times New Roman"/>
          <w:sz w:val="28"/>
          <w:szCs w:val="28"/>
        </w:rPr>
        <w:t xml:space="preserve">В отсутствие либо по поручению председателя конкурсной комиссии его функции исполняет заместитель председателя конкурсной комиссии.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8.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 целях проведения конкурсного отбо</w:t>
      </w:r>
      <w:r>
        <w:rPr>
          <w:rFonts w:ascii="Times New Roman" w:hAnsi="Times New Roman"/>
          <w:sz w:val="28"/>
          <w:szCs w:val="28"/>
        </w:rPr>
        <w:t xml:space="preserve">ра конкурсная комиссия пр</w:t>
      </w:r>
      <w:r>
        <w:rPr>
          <w:rFonts w:ascii="Times New Roman" w:hAnsi="Times New Roman"/>
          <w:sz w:val="28"/>
          <w:szCs w:val="28"/>
        </w:rPr>
        <w:t xml:space="preserve">оводит отбор в соответствии с </w:t>
      </w:r>
      <w:r>
        <w:rPr>
          <w:rFonts w:ascii="Times New Roman" w:hAnsi="Times New Roman"/>
          <w:sz w:val="28"/>
          <w:szCs w:val="28"/>
        </w:rPr>
        <w:t xml:space="preserve">Порядком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определения объема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субсидий некоммерческим организациям, не являющимся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государственными (муниципальными) учреждениями, на оказание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услуг в сфере социального обслуживания граждан в целях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реализации пилотного проекта по созданию системы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долговременного ухода за гражданами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пожилого возраста и инвалидами</w:t>
      </w:r>
      <w:r>
        <w:rPr>
          <w:rFonts w:ascii="Times New Roman" w:hAnsi="Times New Roman"/>
          <w:bCs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9. </w:t>
      </w:r>
      <w:r>
        <w:rPr>
          <w:rFonts w:ascii="Times New Roman" w:hAnsi="Times New Roman"/>
          <w:sz w:val="28"/>
          <w:szCs w:val="28"/>
        </w:rPr>
        <w:t xml:space="preserve">Работа конкурсной комиссии осуществляется в форме заседаний. Заседание конкурсной комиссии считается правомочным, если в его работе принимает участие не менее половины от общего числа ее членов.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10. </w:t>
      </w:r>
      <w:r>
        <w:rPr>
          <w:rFonts w:ascii="Times New Roman" w:hAnsi="Times New Roman"/>
          <w:sz w:val="28"/>
          <w:szCs w:val="28"/>
        </w:rPr>
        <w:t xml:space="preserve">Информация о дате, времени и месте проведения заседания конкурсной комиссии, а также о его повестке рассылается членам конкурсной комиссии не </w:t>
      </w:r>
      <w:r>
        <w:rPr>
          <w:rFonts w:ascii="Times New Roman" w:hAnsi="Times New Roman"/>
          <w:sz w:val="28"/>
          <w:szCs w:val="28"/>
        </w:rPr>
        <w:t xml:space="preserve">позднее</w:t>
      </w:r>
      <w:r>
        <w:rPr>
          <w:rFonts w:ascii="Times New Roman" w:hAnsi="Times New Roman"/>
          <w:sz w:val="28"/>
          <w:szCs w:val="28"/>
        </w:rPr>
        <w:t xml:space="preserve"> чем за два рабочих дня до дня проведения заседания конкурсной комиссии.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11. </w:t>
      </w:r>
      <w:r>
        <w:rPr>
          <w:rFonts w:ascii="Times New Roman" w:hAnsi="Times New Roman"/>
          <w:sz w:val="28"/>
          <w:szCs w:val="28"/>
        </w:rPr>
        <w:t xml:space="preserve">Члены конкурсной комиссии обладают равными правами при обсуждении вопросов, рассматриваемых на заседании конкурсной комиссии.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Все члены конкурсной комиссии осуществляют свою деятельность на безвозмездной основе.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12.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 решении конкурсной комиссии по результатам рассмотрения заявок и конкурсного отбора указываются перечни: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white"/>
        </w:rPr>
        <w:t xml:space="preserve">а)</w:t>
      </w:r>
      <w:r>
        <w:rPr>
          <w:rFonts w:ascii="Times New Roman" w:hAnsi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некоммерческих организаций, не являющихся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государственными (муниципальными) учреждениями</w:t>
      </w:r>
      <w:r>
        <w:rPr>
          <w:rFonts w:ascii="Times New Roman" w:hAnsi="Times New Roman"/>
          <w:sz w:val="28"/>
          <w:szCs w:val="28"/>
          <w:highlight w:val="white"/>
        </w:rPr>
        <w:t xml:space="preserve">, участвовавших в конкурсном отборе;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white"/>
        </w:rPr>
        <w:t xml:space="preserve">б) </w:t>
      </w:r>
      <w:r>
        <w:rPr>
          <w:rFonts w:ascii="Times New Roman" w:hAnsi="Times New Roman"/>
          <w:sz w:val="28"/>
          <w:szCs w:val="28"/>
          <w:highlight w:val="white"/>
        </w:rPr>
        <w:t xml:space="preserve">заявок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некоммерческих организаций, не являющихся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государственными (муниципальными) учреждениями</w:t>
      </w:r>
      <w:r>
        <w:rPr>
          <w:rFonts w:ascii="Times New Roman" w:hAnsi="Times New Roman"/>
          <w:sz w:val="28"/>
          <w:szCs w:val="28"/>
          <w:highlight w:val="white"/>
        </w:rPr>
        <w:t xml:space="preserve">, не допущенных к участию в конкурсном отборе, с указанием оснований отказа в допуске к участию в конкурсном отборе;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white"/>
        </w:rPr>
        <w:t xml:space="preserve">в) 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некоммерч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еских организаций, не являющихся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государственными (муниципальными) учреждениями</w:t>
      </w:r>
      <w:r>
        <w:rPr>
          <w:rFonts w:ascii="Times New Roman" w:hAnsi="Times New Roman"/>
          <w:sz w:val="28"/>
          <w:szCs w:val="28"/>
          <w:highlight w:val="white"/>
        </w:rPr>
        <w:t xml:space="preserve">, допущенных к участию в пилотном проекте;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white"/>
        </w:rPr>
        <w:t xml:space="preserve">г) 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некоммерч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еских организаций, не являющихся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государственными (муниципальными) учреждениями</w:t>
      </w:r>
      <w:r>
        <w:rPr>
          <w:rFonts w:ascii="Times New Roman" w:hAnsi="Times New Roman"/>
          <w:sz w:val="28"/>
          <w:szCs w:val="28"/>
          <w:highlight w:val="white"/>
        </w:rPr>
        <w:t xml:space="preserve">, признанных победителями конкурсного отбора, с указанием </w:t>
      </w:r>
      <w:r>
        <w:rPr>
          <w:rFonts w:ascii="Times New Roman" w:hAnsi="Times New Roman"/>
          <w:sz w:val="28"/>
          <w:szCs w:val="28"/>
          <w:highlight w:val="white"/>
        </w:rPr>
        <w:t xml:space="preserve">числа граждан старше трудоспособного возраста и инвалидов, которым планируется предоставление социальных услуг в форме социального обслуживания на дому.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white"/>
        </w:rPr>
        <w:t xml:space="preserve">13. </w:t>
      </w:r>
      <w:r>
        <w:rPr>
          <w:rFonts w:ascii="Times New Roman" w:hAnsi="Times New Roman"/>
          <w:sz w:val="28"/>
          <w:szCs w:val="28"/>
          <w:highlight w:val="white"/>
        </w:rPr>
        <w:t xml:space="preserve">Решение конкурсной комиссии пр</w:t>
      </w:r>
      <w:r>
        <w:rPr>
          <w:rFonts w:ascii="Times New Roman" w:hAnsi="Times New Roman"/>
          <w:sz w:val="28"/>
          <w:szCs w:val="28"/>
        </w:rPr>
        <w:t xml:space="preserve">инимается простым большинством голосов присутствующих на заседании членов конкурсной комиссии путем проведения открытого голосования. При невозмо</w:t>
      </w:r>
      <w:r>
        <w:rPr>
          <w:rFonts w:ascii="Times New Roman" w:hAnsi="Times New Roman"/>
          <w:sz w:val="28"/>
          <w:szCs w:val="28"/>
        </w:rPr>
        <w:t xml:space="preserve">жности очного присутствия на заседании члены конкурсной комиссии могут выразить письменное мнение, учитываемое при голосовании. При равенстве голосов принятым считается решение, за которое проголосовал председательствующий на заседании конкурсной комиссии.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14. </w:t>
      </w:r>
      <w:r>
        <w:rPr>
          <w:rFonts w:ascii="Times New Roman" w:hAnsi="Times New Roman"/>
          <w:sz w:val="28"/>
          <w:szCs w:val="28"/>
        </w:rPr>
        <w:t xml:space="preserve">Решение, принятое на заседании конкурсной комиссии, в </w:t>
      </w:r>
      <w:r>
        <w:rPr>
          <w:rFonts w:ascii="Times New Roman" w:hAnsi="Times New Roman"/>
          <w:sz w:val="28"/>
          <w:szCs w:val="28"/>
        </w:rPr>
        <w:t xml:space="preserve">течение </w:t>
      </w:r>
      <w:r>
        <w:rPr>
          <w:rFonts w:ascii="Times New Roman" w:hAnsi="Times New Roman"/>
          <w:sz w:val="28"/>
          <w:szCs w:val="28"/>
        </w:rPr>
        <w:t xml:space="preserve">двух</w:t>
      </w:r>
      <w:r>
        <w:rPr>
          <w:rFonts w:ascii="Times New Roman" w:hAnsi="Times New Roman"/>
          <w:sz w:val="28"/>
          <w:szCs w:val="28"/>
        </w:rPr>
        <w:t xml:space="preserve"> рабочих дней со дня принятия решения конкурсной комиссии </w:t>
      </w:r>
      <w:r>
        <w:rPr>
          <w:rFonts w:ascii="Times New Roman" w:hAnsi="Times New Roman"/>
          <w:sz w:val="28"/>
          <w:szCs w:val="28"/>
        </w:rPr>
        <w:t xml:space="preserve">оформляется протоколом, который подписывается присутствовавшими на заседании конкурсной комиссии председателем и заместителем председателя конкурсной комиссии.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Члены конкурсной комиссии, не согласные с решением, принятым на заседании конкурсной комиссии, могут письменно изложить свое особое мнение, которое приобщается к протоколу заседания.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15. </w:t>
      </w:r>
      <w:r>
        <w:rPr>
          <w:rFonts w:ascii="Times New Roman" w:hAnsi="Times New Roman"/>
          <w:sz w:val="28"/>
          <w:szCs w:val="28"/>
        </w:rPr>
        <w:t xml:space="preserve">Копия протокола заседания конкурсной комиссии направляется членам конкурсной комиссии в течение трех рабочих дней со дня проведения заседания конкурсной комиссии.</w:t>
      </w: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 w:eastAsia="Calibri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</w:r>
      <w:r>
        <w:rPr>
          <w:rFonts w:ascii="Times New Roman" w:hAnsi="Times New Roman" w:eastAsia="Calibri"/>
          <w:sz w:val="20"/>
          <w:szCs w:val="20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tbl>
      <w:tblPr>
        <w:tblStyle w:val="847"/>
        <w:tblW w:w="4111" w:type="dxa"/>
        <w:tblInd w:w="577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111"/>
      </w:tblGrid>
      <w:tr>
        <w:trPr/>
        <w:tc>
          <w:tcPr>
            <w:tcW w:w="411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УТВЕРЖДЕН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приказом министерства труда и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социального развития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от «__» __________ № __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/>
          </w:p>
        </w:tc>
      </w:tr>
    </w:tbl>
    <w:p>
      <w:pPr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center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СОСТАВ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/>
    </w:p>
    <w:p>
      <w:pPr>
        <w:jc w:val="center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конкурсной комиссии </w:t>
      </w:r>
      <w:r>
        <w:rPr>
          <w:rFonts w:ascii="Times New Roman" w:hAnsi="Times New Roman"/>
          <w:b/>
          <w:bCs/>
          <w:sz w:val="28"/>
          <w:szCs w:val="28"/>
        </w:rPr>
        <w:t xml:space="preserve">по проведению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конкурсного отбора </w:t>
      </w:r>
      <w:r>
        <w:rPr>
          <w:rFonts w:ascii="Times New Roman" w:hAnsi="Times New Roman"/>
          <w:b/>
          <w:bCs/>
          <w:sz w:val="28"/>
          <w:szCs w:val="28"/>
        </w:rPr>
        <w:t xml:space="preserve">некоммерческих организаций, не являющихся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государственными (муниципальными) учреждениями, для оказания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услуг в сфере социального обслуживания граждан в целях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реализации пилотного проекта по созданию системы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долговременного ухода за граждан</w:t>
      </w:r>
      <w:r>
        <w:rPr>
          <w:rFonts w:ascii="Times New Roman" w:hAnsi="Times New Roman"/>
          <w:b/>
          <w:bCs/>
          <w:sz w:val="28"/>
          <w:szCs w:val="28"/>
        </w:rPr>
        <w:t xml:space="preserve">ами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пожилого возраста и инвалидами</w:t>
      </w:r>
      <w:r>
        <w:rPr>
          <w:rFonts w:ascii="Times New Roman" w:hAnsi="Times New Roman"/>
          <w:b/>
          <w:bCs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eastAsia="Calibri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(далее – 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конкурсная комиссия)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center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tbl>
      <w:tblPr>
        <w:tblStyle w:val="847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085"/>
        <w:gridCol w:w="6768"/>
      </w:tblGrid>
      <w:tr>
        <w:trPr/>
        <w:tc>
          <w:tcPr>
            <w:tcW w:w="3085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536" w:leader="none"/>
                <w:tab w:val="right" w:pos="9072" w:leader="none"/>
              </w:tabs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Машанов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  <w:p>
            <w:pPr>
              <w:tabs>
                <w:tab w:val="left" w:pos="708" w:leader="none"/>
                <w:tab w:val="center" w:pos="4536" w:leader="none"/>
                <w:tab w:val="right" w:pos="9072" w:leader="none"/>
              </w:tabs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Владимир Александрович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  <w:p>
            <w:pPr>
              <w:tabs>
                <w:tab w:val="left" w:pos="708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16"/>
                <w:szCs w:val="16"/>
                <w:lang w:eastAsia="en-US"/>
              </w:rPr>
            </w:r>
            <w:r>
              <w:rPr>
                <w:rFonts w:ascii="Times New Roman" w:hAnsi="Times New Roman" w:eastAsia="Calibri"/>
                <w:sz w:val="16"/>
                <w:szCs w:val="16"/>
                <w:lang w:eastAsia="en-US"/>
              </w:rPr>
            </w:r>
            <w:r/>
          </w:p>
        </w:tc>
        <w:tc>
          <w:tcPr>
            <w:tcW w:w="676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-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заместитель министра труда и социального развития Новосибирской области, председатель конкурсной комиссии;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3085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Журин Дмитрий Валентинович &lt;1&gt;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tcW w:w="676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-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управления организации социального обслуживания населения и реабилитации инвалидов министерства труда и социального развития Новосибирской области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заместитель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председателя конкурсной комиссии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;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3085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Колчина Анастасия Владимировна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&lt;2&gt;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tcW w:w="676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- 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консультант отдела по делам ветеранов и лиц с инвалидностью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управления организации социального обслуживания населения и реабилитации инвалидов министерства труда и социального развития Новосибирской области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, секретарь конкурсной комиссии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;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3085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536" w:leader="none"/>
                <w:tab w:val="right" w:pos="9072" w:leader="none"/>
              </w:tabs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Медведев</w:t>
            </w:r>
            <w:r/>
          </w:p>
          <w:p>
            <w:pPr>
              <w:tabs>
                <w:tab w:val="left" w:pos="708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Алексей Викторович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&lt;3&gt;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tcW w:w="676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- 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заместитель начальника управления – начальник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;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3085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Савченко Татьяна Александровна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&lt;4&gt;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tcW w:w="676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- 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начальник управления комплексного анализа и социального проектирования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;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3085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Цвингер Ольга Федоровна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&lt;5&gt;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tcW w:w="676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- 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начальник отдела нормативно-правового обеспечения правового управления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;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3085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Худяева Людмила Арнольдовна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tcW w:w="676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left" w:pos="1440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-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член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Новосибирской областной общественной организации ветеранов (пенсионеров) войны, труда, Вооруженных Сил и правоохранительных органов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(по согласованию).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left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___________________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/>
    </w:p>
    <w:p>
      <w:pPr>
        <w:jc w:val="left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/>
    </w:p>
    <w:p>
      <w:pPr>
        <w:jc w:val="both"/>
        <w:spacing w:before="0" w:beforeAutospacing="0" w:after="0" w:line="240" w:lineRule="auto"/>
        <w:tabs>
          <w:tab w:val="left" w:pos="708" w:leader="none"/>
          <w:tab w:val="center" w:pos="4536" w:leader="none"/>
          <w:tab w:val="right" w:pos="9072" w:leader="none"/>
        </w:tabs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&lt;1&gt;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 – 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в период временного отсутствия Журина Дмитрия Валентиновича, начальника управления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организации социального обслуживания населения и реабилитации инвалидов министерства труда и социального развития Новосибирской области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, заместителя председателя конкурсной комиссии, ввести в со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став комиссии Нифонтову Анастасию Анатольевну, начальника отдела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 делам ветеранов и лиц с инвалидностью </w:t>
      </w:r>
      <w:r>
        <w:rPr>
          <w:rFonts w:ascii="Times New Roman" w:hAnsi="Times New Roman"/>
          <w:sz w:val="28"/>
          <w:szCs w:val="28"/>
          <w:lang w:eastAsia="en-US"/>
        </w:rPr>
        <w:t xml:space="preserve">управления организации социального обслуживания населения и реабилитации инвалидов министерства труда и социального развития Новосибирской области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;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/>
    </w:p>
    <w:p>
      <w:pPr>
        <w:jc w:val="both"/>
        <w:spacing w:before="0" w:beforeAutospacing="0" w:after="0" w:line="240" w:lineRule="auto"/>
        <w:tabs>
          <w:tab w:val="left" w:pos="708" w:leader="none"/>
          <w:tab w:val="center" w:pos="4536" w:leader="none"/>
          <w:tab w:val="right" w:pos="9072" w:leader="none"/>
        </w:tabs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&lt;2&gt;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 – 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в период временного отсутствия Колчиной Анастасии Владимировны,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консультанта отдела по делам ветеранов и лиц с инвалидностью </w:t>
      </w:r>
      <w:r>
        <w:rPr>
          <w:rFonts w:ascii="Times New Roman" w:hAnsi="Times New Roman"/>
          <w:sz w:val="28"/>
          <w:szCs w:val="28"/>
          <w:lang w:eastAsia="en-US"/>
        </w:rPr>
        <w:t xml:space="preserve">управления организации социального обслуживания населения и реабилитации инвалидов министерства труда и социального развития Новосибирской области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, секретаря конкурсной комиссии, ввести в со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став комиссии Кустаровскую Марину Витальевну, консультанта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тдела организации работы учреждений социального обслуживания </w:t>
      </w:r>
      <w:r>
        <w:rPr>
          <w:rFonts w:ascii="Times New Roman" w:hAnsi="Times New Roman"/>
          <w:sz w:val="28"/>
          <w:szCs w:val="28"/>
          <w:lang w:eastAsia="en-US"/>
        </w:rPr>
        <w:t xml:space="preserve">управления организации социального обслуживания населения и реабилитации инвалидов министерства труда и социального развития Новосибирской области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;</w:t>
      </w:r>
      <w:r>
        <w:rPr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before="0" w:beforeAutospacing="0" w:after="0" w:afterAutospacing="0" w:line="240" w:lineRule="auto"/>
        <w:tabs>
          <w:tab w:val="left" w:pos="708" w:leader="none"/>
          <w:tab w:val="center" w:pos="4536" w:leader="none"/>
          <w:tab w:val="right" w:pos="9072" w:leader="none"/>
        </w:tabs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&lt;3&gt;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 – 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в период временного отсутствия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Медведев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Алексея Викторовича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,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заместителя начальника управления – начальника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, ввести в со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став комиссии Приходько Веру Владимировну, заместителя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начальника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;</w:t>
      </w:r>
      <w:r/>
    </w:p>
    <w:p>
      <w:pPr>
        <w:jc w:val="both"/>
        <w:spacing w:before="0" w:beforeAutospacing="0" w:after="0" w:line="240" w:lineRule="auto"/>
        <w:tabs>
          <w:tab w:val="left" w:pos="708" w:leader="none"/>
          <w:tab w:val="center" w:pos="4536" w:leader="none"/>
          <w:tab w:val="right" w:pos="9072" w:leader="none"/>
        </w:tabs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/>
    </w:p>
    <w:p>
      <w:pPr>
        <w:jc w:val="both"/>
        <w:spacing w:before="0" w:beforeAutospacing="0" w:after="0" w:line="240" w:lineRule="auto"/>
        <w:tabs>
          <w:tab w:val="left" w:pos="708" w:leader="none"/>
          <w:tab w:val="center" w:pos="4536" w:leader="none"/>
          <w:tab w:val="right" w:pos="9072" w:leader="none"/>
        </w:tabs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&lt;4&gt; – 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в период временного отсутствия Савченко Татьяны Александровны, начальника управления комплексного анализа и социального проектирования министерства труда и социального развития Новосибирской области, ввести в со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став комиссии 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Змейкову Юлиану Петровну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, 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консультанта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;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/>
    </w:p>
    <w:p>
      <w:pPr>
        <w:jc w:val="both"/>
        <w:spacing w:before="0" w:beforeAutospacing="0" w:after="0" w:line="240" w:lineRule="auto"/>
        <w:tabs>
          <w:tab w:val="left" w:pos="708" w:leader="none"/>
          <w:tab w:val="center" w:pos="4536" w:leader="none"/>
          <w:tab w:val="right" w:pos="9072" w:leader="none"/>
        </w:tabs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spacing w:before="0" w:beforeAutospacing="0"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 w:eastAsia="Calibri"/>
          <w:b/>
          <w:bCs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&lt;5&gt; – 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в период временного отсутствия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Цвингер Ольги Федоровны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, начальника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отдела нормативно-правового обеспечения правового управления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министерства труда и социального развития Новосибирской области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, ввести в со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став комиссии 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Рядкову Яну Викторовну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, 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консультанта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отдела нормативно-правового обеспечения правового управления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министерства труда и социального развития Новосибирской области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.</w:t>
      </w:r>
      <w:r>
        <w:rPr>
          <w:rFonts w:ascii="Times New Roman" w:hAnsi="Times New Roman" w:eastAsia="Calibri"/>
          <w:lang w:eastAsia="en-US"/>
        </w:rPr>
      </w:r>
      <w:r/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tbl>
      <w:tblPr>
        <w:tblStyle w:val="847"/>
        <w:tblW w:w="4111" w:type="dxa"/>
        <w:tblInd w:w="577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111"/>
      </w:tblGrid>
      <w:tr>
        <w:trPr/>
        <w:tc>
          <w:tcPr>
            <w:tcW w:w="411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УТВЕРЖДЕНА</w:t>
            </w:r>
            <w:r/>
          </w:p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приказом министерства труда и</w:t>
            </w:r>
            <w:r/>
          </w:p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социального развития</w:t>
            </w:r>
            <w:r/>
          </w:p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Новосибирской области</w:t>
            </w:r>
            <w:r/>
          </w:p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от «__» __________ № __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pStyle w:val="854"/>
        <w:jc w:val="right"/>
      </w:pPr>
      <w:r>
        <w:rPr>
          <w:i/>
          <w:sz w:val="28"/>
          <w:szCs w:val="28"/>
          <w:highlight w:val="none"/>
        </w:rPr>
      </w:r>
      <w:r>
        <w:rPr>
          <w:bCs/>
          <w:i/>
          <w:sz w:val="28"/>
          <w:szCs w:val="28"/>
        </w:rPr>
      </w:r>
      <w:r/>
    </w:p>
    <w:p>
      <w:pPr>
        <w:pStyle w:val="854"/>
        <w:jc w:val="right"/>
      </w:pPr>
      <w:r>
        <w:rPr>
          <w:i/>
          <w:sz w:val="28"/>
          <w:szCs w:val="28"/>
        </w:rPr>
        <w:t xml:space="preserve">Рекомендуемая ф</w:t>
      </w:r>
      <w:r>
        <w:rPr>
          <w:i/>
          <w:sz w:val="28"/>
          <w:szCs w:val="28"/>
        </w:rPr>
        <w:t xml:space="preserve">орма</w:t>
      </w:r>
      <w:r>
        <w:rPr>
          <w:i/>
          <w:sz w:val="28"/>
          <w:szCs w:val="28"/>
        </w:rPr>
        <w:t xml:space="preserve"> заявки</w:t>
      </w:r>
      <w:r>
        <w:rPr>
          <w:bCs/>
          <w:i/>
          <w:sz w:val="28"/>
          <w:szCs w:val="28"/>
          <w:highlight w:val="none"/>
        </w:rPr>
      </w:r>
      <w:r/>
    </w:p>
    <w:p>
      <w:pPr>
        <w:pStyle w:val="854"/>
        <w:ind w:firstLine="540"/>
        <w:jc w:val="righ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3"/>
        <w:ind w:left="4819"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bCs/>
          <w:sz w:val="28"/>
          <w:szCs w:val="28"/>
          <w:lang w:eastAsia="en-US"/>
        </w:rPr>
        <w:t xml:space="preserve">конкурсную комиссию </w:t>
      </w:r>
      <w:r>
        <w:rPr>
          <w:rFonts w:ascii="Times New Roman" w:hAnsi="Times New Roman"/>
          <w:sz w:val="28"/>
          <w:szCs w:val="28"/>
        </w:rPr>
        <w:t xml:space="preserve">по 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конкурсного отбора </w:t>
      </w:r>
      <w:r>
        <w:rPr>
          <w:rFonts w:ascii="Times New Roman" w:hAnsi="Times New Roman"/>
          <w:bCs/>
          <w:sz w:val="28"/>
          <w:szCs w:val="28"/>
        </w:rPr>
        <w:t xml:space="preserve">некоммерческих организаций, не являющихся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государственными (муниципальными) учреждениями, для оказания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услуг в сфере социального обслуживания граждан в целях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реализации пилотного проекта по созданию системы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долговременного ухода за граждан</w:t>
      </w:r>
      <w:r>
        <w:rPr>
          <w:rFonts w:ascii="Times New Roman" w:hAnsi="Times New Roman"/>
          <w:bCs/>
          <w:sz w:val="28"/>
          <w:szCs w:val="28"/>
        </w:rPr>
        <w:t xml:space="preserve">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пожилого возраста и инвалидами</w:t>
      </w:r>
      <w:r>
        <w:rPr>
          <w:rFonts w:ascii="Times New Roman" w:hAnsi="Times New Roman"/>
          <w:bCs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jc w:val="center"/>
      </w:pPr>
      <w:r/>
      <w:bookmarkStart w:id="0" w:name="undefined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конкурсном отборе </w:t>
      </w:r>
      <w:r>
        <w:rPr>
          <w:rFonts w:ascii="Times New Roman" w:hAnsi="Times New Roman"/>
          <w:b/>
          <w:bCs/>
          <w:sz w:val="28"/>
          <w:szCs w:val="28"/>
        </w:rPr>
        <w:t xml:space="preserve">некоммерческих организаций, не являющихся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государственными (муниципальными) учреждениями, для оказания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услуг в сфере социального обслуживания граждан в целях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реализации пилотного проекта по созданию системы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долговременного ухода за граждан</w:t>
      </w:r>
      <w:r>
        <w:rPr>
          <w:rFonts w:ascii="Times New Roman" w:hAnsi="Times New Roman"/>
          <w:b/>
          <w:bCs/>
          <w:sz w:val="28"/>
          <w:szCs w:val="28"/>
        </w:rPr>
        <w:t xml:space="preserve">ами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пожилого возраста и инвалидами</w:t>
      </w:r>
      <w:r>
        <w:rPr>
          <w:rFonts w:ascii="Times New Roman" w:hAnsi="Times New Roman"/>
          <w:b/>
          <w:bCs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3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left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Общие 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некоммерческой организации, не являющейся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государственным (муниципальным) учреждением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>
        <w:trPr/>
        <w:tc>
          <w:tcPr>
            <w:shd w:val="clear" w:color="ffffff" w:fill="ffffff"/>
            <w:tcW w:w="4077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некоммерческой организации, не являющейся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государственным (муниципальным) учреждением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yellow"/>
              </w:rPr>
            </w:r>
            <w:r/>
          </w:p>
        </w:tc>
        <w:tc>
          <w:tcPr>
            <w:shd w:val="clear" w:color="ffffff" w:fill="ffffff"/>
            <w:tcW w:w="5812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4077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Сокращенное наименование 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некоммерческой организации, не являющейся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государственным (муниципальным) учреждением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 случае если имеется), содержащееся в ЕГРЮЛ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5812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4077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ИНН/ОГРН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5812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4077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адрес/место регистрации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5812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4077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 и (или) адрес электронной почты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5812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4077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 и (или) адрес электронной почты для направления уведомления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5812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4077" w:type="dxa"/>
            <w:vMerge w:val="restart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руководителя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5812" w:type="dxa"/>
            <w:vMerge w:val="restart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4077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(последнее – при наличии) руководителя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5812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4077" w:type="dxa"/>
            <w:vMerge w:val="restart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документа, подтверждающего полномочия руководителя или его уполномоченного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5812" w:type="dxa"/>
            <w:vMerge w:val="restart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4077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5812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4077" w:type="dxa"/>
            <w:vMerge w:val="restart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К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оличество граждан старше трудоспособного возраста и инвалидов третьего уровня нуждаемости в уходе, которым планируется предоставление социальных услуг в форме социального обслуживания на дому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5812" w:type="dxa"/>
            <w:vMerge w:val="restart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4077" w:type="dxa"/>
            <w:vMerge w:val="restart"/>
            <w:textDirection w:val="lrTb"/>
            <w:noWrap w:val="false"/>
          </w:tcPr>
          <w:p>
            <w:pPr>
              <w:pStyle w:val="853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у 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некоммерческой организации, не являющейся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государственным (муниципальным) учреждением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квалифицированного кадрового потенциала, подтвержденного 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исками специалистов, необходимых для реализации мероприятия Плана мероприятий («Дорожной карты») по созданию системы долговременного ухода за гражданами пожилого возраста и инвалидами, нуждающимися в уходе, на территории Новосибирской области в 2023 году,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утвержденного постановлением Правительства Новосибирской области от 26.12.2022 № 618-п «О Плане мероприятий («Дорожной карте») по созданию системы долговременного ухода за гражданами пожилого возраста и инвалид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ами, нуждающимися в уходе, на территории Новосибирской области в 2023 году» (далее – дорожная карта)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5812" w:type="dxa"/>
            <w:vMerge w:val="restart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4077" w:type="dxa"/>
            <w:vMerge w:val="restart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(объем) собственных (привлеченных) средств и ресурсов для реализации мероприятия дорожной карты согласно приложению № 1 к заявке,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5812" w:type="dxa"/>
            <w:vMerge w:val="restart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4077" w:type="dxa"/>
            <w:vMerge w:val="restart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осуществления деятельности 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некоммерческой организации, не являющейся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государственным (муниципальным) учреждением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Новосибирской области в социальной сфере не менее 6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5812" w:type="dxa"/>
            <w:vMerge w:val="restart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4077" w:type="dxa"/>
            <w:vMerge w:val="restart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некоммерческой организации, 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не являющейся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государственным (муниципальным) учреждением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 публичного годового отчета некоммерческой организации за год, предшествующий году, в кот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ором проводится отбор, содержащего информацию о целях и задачах деятельности некоммерческой организации, проектах, реализованных некоммерческой организацией, об использованных собственных денежных средствах, грантах, субсидиях, привлеченных некоммерческой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организацией для реализации проектов(указать ссылку на страницу сайта в сети «Интернет» (URL), на которой размещен публичный годовой отчет)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5812" w:type="dxa"/>
            <w:vMerge w:val="restart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4077" w:type="dxa"/>
            <w:vMerge w:val="restart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Банковские реквизиты 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некоммерческой организации, не являющейся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государственным (муниципальным) учреждением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5812" w:type="dxa"/>
            <w:vMerge w:val="restart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</w:tbl>
    <w:p>
      <w:pPr>
        <w:pStyle w:val="853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4"/>
        <w:ind w:firstLine="709"/>
        <w:jc w:val="both"/>
      </w:pPr>
      <w:r>
        <w:rPr>
          <w:sz w:val="28"/>
          <w:szCs w:val="24"/>
        </w:rPr>
        <w:t xml:space="preserve">Подтверждаю:</w:t>
      </w:r>
      <w:r>
        <w:rPr>
          <w:sz w:val="28"/>
          <w:szCs w:val="28"/>
          <w:highlight w:val="none"/>
        </w:rPr>
      </w:r>
      <w:r/>
    </w:p>
    <w:p>
      <w:pPr>
        <w:pStyle w:val="854"/>
        <w:ind w:firstLine="709"/>
        <w:jc w:val="both"/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/>
    </w:p>
    <w:p>
      <w:pPr>
        <w:pStyle w:val="854"/>
        <w:ind w:firstLine="709"/>
        <w:jc w:val="both"/>
      </w:pPr>
      <w:r>
        <w:rPr>
          <w:sz w:val="28"/>
          <w:szCs w:val="28"/>
        </w:rPr>
        <w:t xml:space="preserve">достоверность информации, предоставленной в заявке и прилагаемых к ней документов; </w:t>
      </w:r>
      <w:r>
        <w:rPr>
          <w:sz w:val="28"/>
          <w:szCs w:val="28"/>
        </w:rPr>
      </w:r>
      <w:r/>
    </w:p>
    <w:p>
      <w:pPr>
        <w:pStyle w:val="854"/>
        <w:ind w:firstLine="709"/>
        <w:jc w:val="both"/>
      </w:pPr>
      <w:r>
        <w:rPr>
          <w:sz w:val="28"/>
          <w:szCs w:val="28"/>
        </w:rPr>
        <w:t xml:space="preserve">отсутств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неисполненн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обязанност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54"/>
        <w:ind w:firstLine="709"/>
        <w:jc w:val="both"/>
      </w:pPr>
      <w:r>
        <w:rPr>
          <w:sz w:val="28"/>
          <w:szCs w:val="28"/>
        </w:rPr>
        <w:t xml:space="preserve">отсутств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просроченной задолженности по возврату в областной бюджет Новосибирской области субсидий, бюджетных инвестиций,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Новосибирской областью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54"/>
        <w:ind w:firstLine="709"/>
        <w:jc w:val="both"/>
      </w:pPr>
      <w:r>
        <w:rPr>
          <w:sz w:val="28"/>
          <w:szCs w:val="24"/>
        </w:rPr>
        <w:t xml:space="preserve">непроведение</w:t>
      </w:r>
      <w:r>
        <w:rPr>
          <w:sz w:val="28"/>
          <w:szCs w:val="24"/>
        </w:rPr>
        <w:t xml:space="preserve"> процедуры реорганизации, ликвида</w:t>
      </w:r>
      <w:r>
        <w:rPr>
          <w:sz w:val="28"/>
          <w:szCs w:val="24"/>
        </w:rPr>
        <w:t xml:space="preserve">ции, банкротства;</w:t>
      </w:r>
      <w:r>
        <w:rPr>
          <w:sz w:val="28"/>
          <w:szCs w:val="28"/>
          <w:highlight w:val="none"/>
        </w:rPr>
      </w:r>
      <w:r/>
    </w:p>
    <w:p>
      <w:pPr>
        <w:pStyle w:val="854"/>
        <w:ind w:firstLine="709"/>
        <w:jc w:val="both"/>
      </w:pPr>
      <w:r>
        <w:rPr>
          <w:sz w:val="28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  <w:r>
        <w:rPr>
          <w:sz w:val="28"/>
          <w:szCs w:val="28"/>
        </w:rPr>
      </w:r>
      <w:r/>
    </w:p>
    <w:p>
      <w:pPr>
        <w:pStyle w:val="854"/>
        <w:ind w:firstLine="709"/>
        <w:jc w:val="both"/>
      </w:pPr>
      <w:r>
        <w:rPr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некоммерческая организация, не являющаяся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государственным (муниципальным) учреждением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является </w:t>
      </w:r>
      <w:r>
        <w:rPr>
          <w:rFonts w:ascii="Times New Roman" w:hAnsi="Times New Roman" w:cs="Times New Roman"/>
          <w:sz w:val="28"/>
          <w:szCs w:val="28"/>
        </w:rPr>
        <w:t xml:space="preserve">иностранными юридическими лицами, в том числе местом р</w:t>
      </w:r>
      <w:r>
        <w:rPr>
          <w:rFonts w:ascii="Times New Roman" w:hAnsi="Times New Roman" w:cs="Times New Roman"/>
          <w:sz w:val="28"/>
          <w:szCs w:val="28"/>
        </w:rPr>
        <w:t xml:space="preserve">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оф</w:t>
      </w:r>
      <w:r>
        <w:rPr>
          <w:rFonts w:ascii="Times New Roman" w:hAnsi="Times New Roman" w:cs="Times New Roman"/>
          <w:sz w:val="28"/>
          <w:szCs w:val="28"/>
        </w:rPr>
        <w:t xml:space="preserve">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rFonts w:ascii="Times New Roman" w:hAnsi="Times New Roman" w:cs="Times New Roman"/>
          <w:sz w:val="28"/>
          <w:szCs w:val="28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Times New Roman" w:hAnsi="Times New Roman" w:cs="Times New Roman"/>
          <w:sz w:val="28"/>
          <w:szCs w:val="28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sz w:val="28"/>
          <w:szCs w:val="28"/>
        </w:rPr>
        <w:t xml:space="preserve">;</w:t>
      </w:r>
      <w:r>
        <w:rPr>
          <w:sz w:val="28"/>
          <w:szCs w:val="24"/>
        </w:rPr>
      </w:r>
      <w:r/>
    </w:p>
    <w:p>
      <w:pPr>
        <w:pStyle w:val="854"/>
        <w:jc w:val="both"/>
        <w:spacing w:after="1"/>
        <w:tabs>
          <w:tab w:val="left" w:pos="5954" w:leader="none"/>
        </w:tabs>
      </w:pPr>
      <w:r>
        <w:rPr>
          <w:sz w:val="28"/>
          <w:szCs w:val="24"/>
        </w:rPr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некоммерческая организация, не являющаяся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государственным (муниципальным) учреждением</w:t>
      </w:r>
      <w:r>
        <w:rPr>
          <w:sz w:val="28"/>
          <w:szCs w:val="28"/>
        </w:rPr>
        <w:t xml:space="preserve">,</w:t>
      </w:r>
      <w:r>
        <w:rPr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получает средства из областного бюджета Новосибирской области на основании иных нормативных правовых актов на цели</w:t>
      </w:r>
      <w:r>
        <w:rPr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854"/>
        <w:jc w:val="both"/>
        <w:spacing w:after="1"/>
        <w:tabs>
          <w:tab w:val="left" w:pos="5954" w:leader="none"/>
        </w:tabs>
      </w:pPr>
      <w:r>
        <w:rPr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некоммерческая организация, не являющаяся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государственным (муниципальным) учреждением</w:t>
      </w:r>
      <w:r>
        <w:rPr>
          <w:b w:val="0"/>
          <w:bCs w:val="0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находятся в перечне организаций и физических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54"/>
        <w:ind w:firstLine="709"/>
        <w:jc w:val="both"/>
      </w:pPr>
      <w:r>
        <w:rPr>
          <w:b w:val="0"/>
          <w:bCs w:val="0"/>
          <w:sz w:val="28"/>
          <w:szCs w:val="24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854"/>
        <w:ind w:firstLine="709"/>
        <w:jc w:val="both"/>
      </w:pPr>
      <w:r>
        <w:rPr>
          <w:sz w:val="28"/>
          <w:szCs w:val="24"/>
        </w:rPr>
        <w:t xml:space="preserve">Даю согласие на осуществление проверок соблюдения условий, целей и порядка предоставления субсидии </w:t>
      </w:r>
      <w:r>
        <w:rPr>
          <w:sz w:val="28"/>
          <w:szCs w:val="24"/>
        </w:rPr>
        <w:t xml:space="preserve">уполномоченными органами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</w:r>
      <w:r/>
    </w:p>
    <w:p>
      <w:pPr>
        <w:pStyle w:val="854"/>
        <w:ind w:firstLine="540"/>
        <w:jc w:val="both"/>
      </w:pPr>
      <w:r>
        <w:rPr>
          <w:sz w:val="28"/>
          <w:szCs w:val="24"/>
        </w:rPr>
      </w:r>
      <w:r>
        <w:rPr>
          <w:sz w:val="28"/>
          <w:szCs w:val="24"/>
        </w:rPr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________________                                                   ___________________________</w:t>
      </w:r>
      <w:r>
        <w:rPr>
          <w:rFonts w:ascii="Times New Roman" w:hAnsi="Times New Roman" w:cs="Times New Roman"/>
          <w:sz w:val="28"/>
          <w:szCs w:val="24"/>
        </w:rPr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(дата)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 заявителя)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М.П. (при наличии)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5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Даю согласие на осуществление министерством труда и социального развития Новосибирской области и органами государственного финансового контроля проверок соблюдения организацией условий, целей и порядка предоставления субсидии.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4"/>
        <w:ind w:firstLine="540"/>
        <w:jc w:val="both"/>
      </w:pPr>
      <w:r>
        <w:rPr>
          <w:sz w:val="28"/>
          <w:szCs w:val="24"/>
        </w:rPr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________________                                                   ___________________________</w:t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(дата)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 заявителя)</w:t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М.П. (при наличии)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5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Даю согласие на публикацию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размещение) на сайте министерства труда и социального развития Новосибирской области в информационно-телекоммуникационной сети «Интернет»  информации о некоммерческой организации ________________________________________________________ и подаваемой заявке;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 (для физического лица)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________________                                                   ___________________________</w:t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(дата)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 заявителя)</w:t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М.П. (при наличии)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4"/>
        <w:ind w:left="5387"/>
        <w:jc w:val="center"/>
      </w:pPr>
      <w:r>
        <w:rPr>
          <w:highlight w:val="none"/>
        </w:rPr>
      </w:r>
      <w:r/>
    </w:p>
    <w:tbl>
      <w:tblPr>
        <w:tblStyle w:val="847"/>
        <w:tblW w:w="4112" w:type="dxa"/>
        <w:tblInd w:w="577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112"/>
      </w:tblGrid>
      <w:tr>
        <w:trPr/>
        <w:tc>
          <w:tcPr>
            <w:tcW w:w="4112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Приложение № 1</w:t>
            </w:r>
            <w:r/>
          </w:p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к Заявке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Calibri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eastAsia="en-US"/>
              </w:rPr>
              <w:t xml:space="preserve">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 участие в конкурсном отборе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некоммерческих организаций, не являющихся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государственными (муниципальными) учреждениями, для оказания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услуг в сфере социального обслуживания граждан в целях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реализации пилотного проекта по созданию системы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долговременного ухода за граждан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ами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пожилого возраста и инвалидами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 территории Новосибирской области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/>
          </w:p>
        </w:tc>
      </w:tr>
    </w:tbl>
    <w:p>
      <w:pPr>
        <w:pStyle w:val="854"/>
        <w:ind w:left="4961" w:right="0" w:firstLine="0"/>
        <w:jc w:val="center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firstLine="54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Собственные (привлеченные) средства и ресурсы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</w:rPr>
      </w:r>
      <w:r/>
    </w:p>
    <w:p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  <w:r/>
    </w:p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194"/>
        <w:gridCol w:w="2695"/>
      </w:tblGrid>
      <w:tr>
        <w:trPr/>
        <w:tc>
          <w:tcPr>
            <w:shd w:val="clear" w:color="ffffff" w:fill="ffffff"/>
            <w:tcW w:w="71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средств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рублей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71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Собственные финансовые и нефинансовые ресурсы в денежном выражении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71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71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71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Привлеченные финансовые и нефинансовые ресурсы в денежном выражении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71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71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71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  <w:r/>
    </w:p>
    <w:p>
      <w:pPr>
        <w:pStyle w:val="8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Итого:_________(_____________________________________________) рублей.</w:t>
      </w:r>
      <w:r>
        <w:rPr>
          <w:rFonts w:ascii="Times New Roman" w:hAnsi="Times New Roman" w:cs="Times New Roman"/>
        </w:rPr>
      </w:r>
      <w:r/>
    </w:p>
    <w:p>
      <w:pPr>
        <w:ind w:firstLine="0"/>
        <w:jc w:val="lef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32"/>
          <w:szCs w:val="28"/>
          <w:highlight w:val="none"/>
        </w:rPr>
        <w:t xml:space="preserve">_____________                                                     __________________</w:t>
      </w:r>
      <w:r>
        <w:rPr>
          <w:rFonts w:ascii="Times New Roman" w:hAnsi="Times New Roman" w:cs="Times New Roman"/>
        </w:rPr>
      </w:r>
      <w:r/>
    </w:p>
    <w:p>
      <w:pPr>
        <w:ind w:firstLine="0"/>
        <w:jc w:val="lef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       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</w:rPr>
        <w:t xml:space="preserve">    (дата)                                                                                              (подпись заявителя)</w:t>
      </w:r>
      <w:r>
        <w:rPr>
          <w:rFonts w:ascii="Times New Roman" w:hAnsi="Times New Roman" w:cs="Times New Roman"/>
        </w:rPr>
      </w:r>
      <w:r/>
    </w:p>
    <w:p>
      <w:pPr>
        <w:ind w:firstLine="0"/>
        <w:jc w:val="left"/>
        <w:spacing w:line="240" w:lineRule="auto"/>
        <w:rPr>
          <w:rFonts w:ascii="Times New Roman" w:hAnsi="Times New Roman" w:cs="Times New Roman"/>
          <w:bCs/>
          <w:i/>
          <w:sz w:val="32"/>
          <w:szCs w:val="32"/>
          <w:highlight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</w:rPr>
        <w:t xml:space="preserve">                                                                                                                      М.П. (при наличии)</w:t>
      </w:r>
      <w:r>
        <w:rPr>
          <w:rFonts w:ascii="Times New Roman" w:hAnsi="Times New Roman" w:cs="Times New Roman"/>
        </w:rPr>
      </w:r>
      <w:r/>
    </w:p>
    <w:tbl>
      <w:tblPr>
        <w:tblStyle w:val="847"/>
        <w:tblW w:w="4112" w:type="dxa"/>
        <w:tblInd w:w="577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112"/>
      </w:tblGrid>
      <w:tr>
        <w:trPr/>
        <w:tc>
          <w:tcPr>
            <w:tcW w:w="4112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Приложение № 2</w:t>
            </w:r>
            <w:r/>
          </w:p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к Заявке</w:t>
            </w:r>
            <w:r/>
          </w:p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Calibri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eastAsia="en-US"/>
              </w:rPr>
              <w:t xml:space="preserve">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 участие в конкурсном отборе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некоммерческих организаций, не являющихся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государственными (муниципальными) учреждениями, для оказания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услуг в сфере социального обслуживания граждан в целях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реализации пилотного проекта по созданию системы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долговременного ухода за граждан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ами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пожилого возраста и инвалидами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 территории Новосибирской области</w:t>
            </w:r>
            <w:r>
              <w:rPr>
                <w:rFonts w:ascii="Times New Roman" w:hAnsi="Times New Roman" w:eastAsia="Calibri"/>
                <w:highlight w:val="none"/>
              </w:rPr>
            </w:r>
            <w:r/>
          </w:p>
        </w:tc>
      </w:tr>
    </w:tbl>
    <w:p>
      <w:pPr>
        <w:pStyle w:val="854"/>
        <w:jc w:val="left"/>
        <w:outlineLvl w:val="2"/>
      </w:pPr>
      <w:r>
        <w:rPr>
          <w:sz w:val="28"/>
          <w:highlight w:val="none"/>
        </w:rPr>
      </w:r>
      <w:r>
        <w:rPr>
          <w:sz w:val="28"/>
          <w:szCs w:val="28"/>
        </w:rPr>
      </w:r>
      <w:r/>
    </w:p>
    <w:p>
      <w:pPr>
        <w:pStyle w:val="854"/>
        <w:jc w:val="center"/>
        <w:outlineLvl w:val="2"/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54"/>
        <w:jc w:val="center"/>
        <w:outlineLvl w:val="2"/>
      </w:pPr>
      <w:r>
        <w:rPr>
          <w:sz w:val="28"/>
        </w:rPr>
        <w:t xml:space="preserve">Перечень документов, прилагаемых к заявке:</w:t>
      </w:r>
      <w:r>
        <w:rPr>
          <w:sz w:val="28"/>
          <w:szCs w:val="28"/>
          <w:highlight w:val="none"/>
        </w:rPr>
      </w:r>
      <w:r/>
    </w:p>
    <w:p>
      <w:pPr>
        <w:pStyle w:val="854"/>
        <w:ind w:firstLine="540"/>
        <w:jc w:val="both"/>
      </w:pPr>
      <w:r>
        <w:rPr>
          <w:sz w:val="28"/>
        </w:rPr>
      </w:r>
      <w:r/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4"/>
        <w:gridCol w:w="7030"/>
        <w:gridCol w:w="226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54"/>
              <w:ind w:firstLine="0"/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vAlign w:val="center"/>
            <w:textDirection w:val="lrTb"/>
            <w:noWrap w:val="false"/>
          </w:tcPr>
          <w:p>
            <w:pPr>
              <w:pStyle w:val="854"/>
              <w:ind w:firstLine="0"/>
              <w:jc w:val="center"/>
            </w:pPr>
            <w:r>
              <w:rPr>
                <w:sz w:val="28"/>
                <w:szCs w:val="28"/>
              </w:rPr>
              <w:t xml:space="preserve">Наименование документа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54"/>
              <w:ind w:firstLine="0"/>
              <w:jc w:val="center"/>
            </w:pPr>
            <w:r>
              <w:rPr>
                <w:sz w:val="28"/>
                <w:szCs w:val="28"/>
              </w:rPr>
              <w:t xml:space="preserve">Количество страниц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54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54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54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54"/>
            </w:pPr>
            <w:r>
              <w:rPr>
                <w:sz w:val="24"/>
              </w:rPr>
            </w:r>
            <w:r>
              <w:rPr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54"/>
            </w:pPr>
            <w:r>
              <w:rPr>
                <w:sz w:val="24"/>
              </w:rPr>
            </w:r>
            <w:r>
              <w:rPr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54"/>
            </w:pPr>
            <w:r>
              <w:rPr>
                <w:sz w:val="24"/>
              </w:rPr>
            </w:r>
            <w:r>
              <w:rPr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54"/>
            </w:pPr>
            <w:r>
              <w:rPr>
                <w:sz w:val="24"/>
              </w:rPr>
            </w:r>
            <w:r>
              <w:rPr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54"/>
            </w:pPr>
            <w:r>
              <w:rPr>
                <w:sz w:val="24"/>
              </w:rPr>
            </w:r>
            <w:r>
              <w:rPr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54"/>
            </w:pPr>
            <w:r>
              <w:rPr>
                <w:sz w:val="24"/>
              </w:rPr>
            </w:r>
            <w:r>
              <w:rPr>
                <w:szCs w:val="24"/>
              </w:rPr>
            </w:r>
            <w:r/>
          </w:p>
        </w:tc>
      </w:tr>
    </w:tbl>
    <w:p>
      <w:pPr>
        <w:pStyle w:val="854"/>
        <w:ind w:firstLine="540"/>
        <w:jc w:val="both"/>
      </w:pPr>
      <w:r>
        <w:rPr>
          <w:sz w:val="28"/>
        </w:rPr>
      </w:r>
      <w:r>
        <w:rPr>
          <w:szCs w:val="28"/>
        </w:rPr>
      </w:r>
      <w:r/>
    </w:p>
    <w:p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none"/>
        </w:rPr>
        <w:t xml:space="preserve">_______________                                                                  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</w:rPr>
        <w:t xml:space="preserve">        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</w:rPr>
        <w:t xml:space="preserve">    (дата)                                                                                                (подпись заявителя)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0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</w:rPr>
        <w:t xml:space="preserve">                                                                                                                        М.П. (при наличии)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47"/>
        <w:tblW w:w="4111" w:type="dxa"/>
        <w:tblInd w:w="577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111"/>
      </w:tblGrid>
      <w:tr>
        <w:trPr/>
        <w:tc>
          <w:tcPr>
            <w:tcW w:w="411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УТВЕРЖДЕН</w:t>
            </w:r>
            <w:r/>
          </w:p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приказом министерства труда и</w:t>
            </w:r>
            <w:r/>
          </w:p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социального развития</w:t>
            </w:r>
            <w:r/>
          </w:p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Новосибирской области</w:t>
            </w:r>
            <w:r/>
          </w:p>
          <w:p>
            <w:pPr>
              <w:jc w:val="center"/>
              <w:tabs>
                <w:tab w:val="left" w:pos="708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от «__» __________ № __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pStyle w:val="854"/>
        <w:jc w:val="right"/>
      </w:pPr>
      <w:r>
        <w:rPr>
          <w:i/>
          <w:sz w:val="28"/>
          <w:szCs w:val="28"/>
          <w:highlight w:val="none"/>
        </w:rPr>
      </w:r>
      <w:r>
        <w:rPr>
          <w:bCs/>
          <w:i/>
          <w:sz w:val="28"/>
          <w:szCs w:val="28"/>
        </w:rPr>
      </w:r>
      <w:r/>
    </w:p>
    <w:p>
      <w:pPr>
        <w:pStyle w:val="853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jc w:val="center"/>
      </w:pPr>
      <w:r>
        <w:rPr>
          <w:b/>
          <w:bCs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4"/>
        <w:jc w:val="center"/>
        <w:spacing w:after="1"/>
        <w:tabs>
          <w:tab w:val="left" w:pos="5954" w:leader="none"/>
        </w:tabs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документов, предоставляемых участниками конкурсного отбора </w:t>
      </w:r>
      <w:r>
        <w:rPr>
          <w:rFonts w:ascii="Times New Roman" w:hAnsi="Times New Roman"/>
          <w:b/>
          <w:bCs/>
          <w:sz w:val="28"/>
          <w:szCs w:val="28"/>
        </w:rPr>
        <w:t xml:space="preserve">некоммерческих организаций, не являющихся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государственными (муниципальными) учреждениями,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подтверждающих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54"/>
        <w:jc w:val="center"/>
        <w:spacing w:after="1"/>
        <w:tabs>
          <w:tab w:val="left" w:pos="5954" w:leader="none"/>
        </w:tabs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их соответствие установленным критериям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3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4"/>
        <w:jc w:val="center"/>
        <w:outlineLvl w:val="2"/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54"/>
        <w:ind w:firstLine="540"/>
        <w:jc w:val="both"/>
      </w:pPr>
      <w:r>
        <w:rPr>
          <w:sz w:val="28"/>
        </w:rPr>
      </w:r>
      <w:r/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4"/>
        <w:gridCol w:w="4478"/>
        <w:gridCol w:w="482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54"/>
              <w:ind w:firstLine="0"/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8" w:type="dxa"/>
            <w:vAlign w:val="center"/>
            <w:textDirection w:val="lrTb"/>
            <w:noWrap w:val="false"/>
          </w:tcPr>
          <w:p>
            <w:pPr>
              <w:pStyle w:val="854"/>
              <w:ind w:firstLine="0"/>
              <w:jc w:val="center"/>
            </w:pPr>
            <w:r>
              <w:rPr>
                <w:sz w:val="28"/>
                <w:szCs w:val="28"/>
              </w:rPr>
              <w:t xml:space="preserve">Наименование критерия</w:t>
            </w:r>
            <w:r/>
          </w:p>
          <w:p>
            <w:pPr>
              <w:pStyle w:val="854"/>
              <w:ind w:firstLine="0"/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1" w:type="dxa"/>
            <w:vAlign w:val="center"/>
            <w:textDirection w:val="lrTb"/>
            <w:noWrap w:val="false"/>
          </w:tcPr>
          <w:p>
            <w:pPr>
              <w:pStyle w:val="854"/>
              <w:ind w:firstLine="0"/>
              <w:jc w:val="center"/>
            </w:pPr>
            <w:r>
              <w:rPr>
                <w:sz w:val="28"/>
                <w:szCs w:val="28"/>
              </w:rPr>
              <w:t xml:space="preserve">Наименование документа</w:t>
            </w:r>
            <w:r/>
          </w:p>
          <w:p>
            <w:pPr>
              <w:pStyle w:val="854"/>
              <w:ind w:firstLine="0"/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некоммерческой организации квалифицирова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кадрового потенциала, подтвержденного списками специалистов, необходимых для реализации мероприятия Плана мероприятий («Дорожной карты») по созданию системы долговременного ухода за гражданами пожилого возраста и инвалидами, нуждающимися в уходе,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Новосибирской области в 2023 году, утвержденного постановлением Правительства Новосибирской области от 26.12.2022 № 618-п «О Плане мероприятий («Дорожной карте») по созданию системы долговременного ухода за гражданами пожилого возраста и 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ами, нуждающимися в уходе, на территории Новосибирской области в 2023 году»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 – дорожная карта)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1" w:type="dxa"/>
            <w:textDirection w:val="lrTb"/>
            <w:noWrap w:val="false"/>
          </w:tcPr>
          <w:p>
            <w:pPr>
              <w:pStyle w:val="854"/>
              <w:ind w:firstLine="0"/>
              <w:jc w:val="both"/>
            </w:pPr>
            <w:r>
              <w:rPr>
                <w:sz w:val="24"/>
                <w:szCs w:val="24"/>
              </w:rPr>
              <w:t xml:space="preserve">Заверенный руководителем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некоммерческой организации</w:t>
            </w:r>
            <w:r>
              <w:rPr>
                <w:sz w:val="24"/>
                <w:szCs w:val="24"/>
              </w:rPr>
              <w:t xml:space="preserve"> список специалистов, которых планируется привлечь к реализации мероприятия, с приложением копий свидетельств о прохождении обучения по программе профессиональной подготовки  сиделки (</w:t>
            </w:r>
            <w:r>
              <w:rPr>
                <w:sz w:val="24"/>
                <w:szCs w:val="24"/>
              </w:rPr>
              <w:t xml:space="preserve">помощника по уходу)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854"/>
              <w:ind w:firstLine="0"/>
              <w:jc w:val="both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(объем) собственных (привлеченных) средств и ресурсов для реализации мероприятия дорожной карты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536" w:leader="none"/>
                <w:tab w:val="right" w:pos="9072" w:leader="none"/>
              </w:tabs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Приложение № 1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к Заявке </w:t>
            </w:r>
            <w:r>
              <w:rPr>
                <w:rFonts w:ascii="Times New Roman" w:hAnsi="Times New Roman" w:eastAsia="Calibri"/>
                <w:sz w:val="24"/>
                <w:szCs w:val="24"/>
                <w:highlight w:val="none"/>
                <w:lang w:eastAsia="en-US"/>
              </w:rPr>
              <w:t xml:space="preserve">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 участие в конкурсном отборе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некоммерческих организаций, не являющихся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государственными (муниципальными) учреждениями, для оказания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услуг в сфере социального обслуживания граждан в целях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реализации пилотного проекта по созданию системы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долговременного ухода за граждан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ами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пожилого возраста и инвалидами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 территории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  <w:highlight w:val="none"/>
              </w:rPr>
              <w:t xml:space="preserve">собственные (привлеченные) средства и ресурсы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54"/>
              <w:ind w:firstLine="0"/>
              <w:jc w:val="both"/>
            </w:pP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осуществления деятельности некоммерческой организации на территории Новосибирской области в социальной сфере не менее 6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1" w:type="dxa"/>
            <w:textDirection w:val="lrTb"/>
            <w:noWrap w:val="false"/>
          </w:tcPr>
          <w:p>
            <w:pPr>
              <w:pStyle w:val="854"/>
              <w:ind w:firstLine="0"/>
            </w:pPr>
            <w:r>
              <w:rPr>
                <w:sz w:val="24"/>
              </w:rPr>
              <w:t xml:space="preserve">Выписка из ЕГРЮЛ</w:t>
            </w:r>
            <w:r>
              <w:rPr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8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некоммерческой организации в сети «Интернет» публичного годового отчета некоммерческой организации за год, предшествующий году, в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ором проводится отбор, содержащего информацию о целях и задачах деятельности некоммерческой организации, проектах, реализованных некоммерческой организацией, об использованных собственных денежных средствах, грантах, субсидиях, привлеченных некоммерческой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для реализации проектов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1" w:type="dxa"/>
            <w:vMerge w:val="restart"/>
            <w:textDirection w:val="lrTb"/>
            <w:noWrap w:val="false"/>
          </w:tcPr>
          <w:p>
            <w:pPr>
              <w:pStyle w:val="854"/>
              <w:ind w:firstLine="0"/>
              <w:rPr>
                <w:highlight w:val="none"/>
              </w:rPr>
            </w:pPr>
            <w:r>
              <w:rPr>
                <w:sz w:val="24"/>
              </w:rPr>
              <w:t xml:space="preserve">Ссылка на страницу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некоммерческой организации в сети «Интернет»</w:t>
            </w:r>
            <w:r>
              <w:rPr>
                <w:sz w:val="24"/>
              </w:rPr>
              <w:t xml:space="preserve">, на которой размещен отчет; к</w:t>
            </w:r>
            <w:r>
              <w:rPr>
                <w:sz w:val="24"/>
                <w:highlight w:val="none"/>
              </w:rPr>
              <w:t xml:space="preserve">опия отчета, заверенная руководителем некоммерческой организации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pStyle w:val="854"/>
        <w:ind w:firstLine="540"/>
        <w:jc w:val="both"/>
      </w:pPr>
      <w:r>
        <w:rPr>
          <w:sz w:val="28"/>
        </w:rPr>
      </w:r>
      <w:r>
        <w:rPr>
          <w:szCs w:val="28"/>
        </w:rPr>
      </w:r>
      <w:r/>
    </w:p>
    <w:p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none"/>
        </w:rPr>
        <w:t xml:space="preserve">_______________                                                                      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lef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</w:rPr>
        <w:t xml:space="preserve">        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</w:rPr>
        <w:t xml:space="preserve">    (дата)                                                                                                (подпись заявителя)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0"/>
        <w:jc w:val="left"/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</w:rPr>
        <w:t xml:space="preserve">                                                                                                                        М.П. (при наличии)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jc w:val="center"/>
      <w:rPr>
        <w:rFonts w:ascii="Times New Roman" w:hAnsi="Times New Roman"/>
        <w:color w:val="ffffff" w:themeColor="background1"/>
      </w:rPr>
    </w:pPr>
    <w:r>
      <w:rPr>
        <w:rFonts w:ascii="Times New Roman" w:hAnsi="Times New Roman"/>
        <w:color w:val="ffffff" w:themeColor="background1"/>
      </w:rP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jc w:val="center"/>
    </w:pPr>
    <w:r/>
    <w:r/>
  </w:p>
  <w:p>
    <w:pPr>
      <w:pStyle w:val="8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6"/>
    <w:next w:val="836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7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6"/>
    <w:next w:val="836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7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7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7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7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7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7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7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6"/>
    <w:next w:val="836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37"/>
    <w:link w:val="681"/>
    <w:uiPriority w:val="10"/>
    <w:rPr>
      <w:sz w:val="48"/>
      <w:szCs w:val="48"/>
    </w:rPr>
  </w:style>
  <w:style w:type="paragraph" w:styleId="683">
    <w:name w:val="Subtitle"/>
    <w:basedOn w:val="836"/>
    <w:next w:val="836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7"/>
    <w:link w:val="683"/>
    <w:uiPriority w:val="11"/>
    <w:rPr>
      <w:sz w:val="24"/>
      <w:szCs w:val="24"/>
    </w:rPr>
  </w:style>
  <w:style w:type="paragraph" w:styleId="685">
    <w:name w:val="Quote"/>
    <w:basedOn w:val="836"/>
    <w:next w:val="836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6"/>
    <w:next w:val="836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character" w:styleId="689">
    <w:name w:val="Header Char"/>
    <w:basedOn w:val="837"/>
    <w:link w:val="848"/>
    <w:uiPriority w:val="99"/>
  </w:style>
  <w:style w:type="character" w:styleId="690">
    <w:name w:val="Footer Char"/>
    <w:basedOn w:val="837"/>
    <w:link w:val="850"/>
    <w:uiPriority w:val="99"/>
  </w:style>
  <w:style w:type="paragraph" w:styleId="691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850"/>
    <w:uiPriority w:val="99"/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Body Text Indent 3"/>
    <w:basedOn w:val="836"/>
    <w:link w:val="841"/>
    <w:unhideWhenUsed/>
    <w:pPr>
      <w:ind w:left="480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41" w:customStyle="1">
    <w:name w:val="Основной текст с отступом 3 Знак"/>
    <w:basedOn w:val="837"/>
    <w:link w:val="84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42">
    <w:name w:val="Balloon Text"/>
    <w:basedOn w:val="836"/>
    <w:link w:val="8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37"/>
    <w:link w:val="84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4">
    <w:name w:val="List Paragraph"/>
    <w:basedOn w:val="836"/>
    <w:uiPriority w:val="34"/>
    <w:qFormat/>
    <w:pPr>
      <w:contextualSpacing/>
      <w:ind w:left="720"/>
    </w:pPr>
  </w:style>
  <w:style w:type="paragraph" w:styleId="845">
    <w:name w:val="Body Text Indent"/>
    <w:basedOn w:val="836"/>
    <w:link w:val="846"/>
    <w:uiPriority w:val="99"/>
    <w:unhideWhenUsed/>
    <w:pPr>
      <w:ind w:left="283"/>
      <w:spacing w:after="120"/>
    </w:pPr>
  </w:style>
  <w:style w:type="character" w:styleId="846" w:customStyle="1">
    <w:name w:val="Основной текст с отступом Знак"/>
    <w:basedOn w:val="837"/>
    <w:link w:val="845"/>
    <w:uiPriority w:val="99"/>
    <w:rPr>
      <w:rFonts w:ascii="Calibri" w:hAnsi="Calibri" w:eastAsia="Times New Roman" w:cs="Times New Roman"/>
      <w:lang w:eastAsia="ru-RU"/>
    </w:rPr>
  </w:style>
  <w:style w:type="table" w:styleId="847">
    <w:name w:val="Table Grid"/>
    <w:basedOn w:val="83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8">
    <w:name w:val="Header"/>
    <w:basedOn w:val="836"/>
    <w:link w:val="84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"/>
    <w:basedOn w:val="837"/>
    <w:link w:val="848"/>
    <w:uiPriority w:val="99"/>
    <w:rPr>
      <w:rFonts w:ascii="Calibri" w:hAnsi="Calibri" w:eastAsia="Times New Roman" w:cs="Times New Roman"/>
      <w:lang w:eastAsia="ru-RU"/>
    </w:rPr>
  </w:style>
  <w:style w:type="paragraph" w:styleId="850">
    <w:name w:val="Footer"/>
    <w:basedOn w:val="836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"/>
    <w:basedOn w:val="837"/>
    <w:link w:val="850"/>
    <w:uiPriority w:val="99"/>
    <w:rPr>
      <w:rFonts w:ascii="Calibri" w:hAnsi="Calibri" w:eastAsia="Times New Roman" w:cs="Times New Roman"/>
      <w:lang w:eastAsia="ru-RU"/>
    </w:rPr>
  </w:style>
  <w:style w:type="paragraph" w:styleId="852" w:customStyle="1">
    <w:name w:val="Body Text 2"/>
    <w:basedOn w:val="83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3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4" w:customStyle="1">
    <w:name w:val="ConsPlusNormal"/>
    <w:link w:val="819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8"/>
      <w:szCs w:val="1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83E4-4045-4DF2-B55E-3BC266EE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lmv</dc:creator>
  <cp:revision>60</cp:revision>
  <dcterms:created xsi:type="dcterms:W3CDTF">2020-09-07T07:45:00Z</dcterms:created>
  <dcterms:modified xsi:type="dcterms:W3CDTF">2023-09-04T07:21:41Z</dcterms:modified>
</cp:coreProperties>
</file>