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</w:r>
    </w:p>
    <w:p>
      <w:pPr>
        <w:jc w:val="right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sub_1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07.03.2022 № 27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остановляю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07.03.2022 № 27</w:t>
      </w:r>
      <w:r>
        <w:rPr>
          <w:rFonts w:ascii="Times New Roman" w:hAnsi="Times New Roman" w:cs="Times New Roman"/>
          <w:sz w:val="28"/>
          <w:szCs w:val="28"/>
        </w:rPr>
        <w:t xml:space="preserve"> «О подведомственности унитарных предприятий Новосибирской области и государственных учреждений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министерству природных ресурсов и экологии Новосибирской области и внесении изменений в постановление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28.12.2009 № 546» следующее изменение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перечень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области, подведомственных министерству природных ресурсов и экологии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пунктом 19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4404"/>
      </w:tblGrid>
      <w:tr>
        <w:trPr>
          <w:trHeight w:val="54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учреждение </w:t>
            </w:r>
            <w:r>
              <w:rPr>
                <w:sz w:val="28"/>
                <w:szCs w:val="28"/>
              </w:rPr>
              <w:t xml:space="preserve">Новосибирской области «Куйбышев</w:t>
            </w:r>
            <w:r>
              <w:rPr>
                <w:sz w:val="28"/>
                <w:szCs w:val="28"/>
              </w:rPr>
              <w:t xml:space="preserve">ский лесхоз»</w:t>
            </w:r>
            <w:r>
              <w:rPr>
                <w:sz w:val="28"/>
                <w:szCs w:val="28"/>
              </w:rPr>
            </w:r>
          </w:p>
        </w:tc>
        <w:tc>
          <w:tcPr>
            <w:tcW w:w="4404" w:type="dxa"/>
            <w:textDirection w:val="lrTb"/>
            <w:noWrap w:val="false"/>
          </w:tcPr>
          <w:p>
            <w:pPr>
              <w:pStyle w:val="6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63235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овосибирская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Куйбышевский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</w:r>
          </w:p>
          <w:p>
            <w:pPr>
              <w:pStyle w:val="699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Нагорное, ул. Лесхозная, 1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А.А. Травников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  <w:szCs w:val="20"/>
          <w:highlight w:val="none"/>
        </w:rPr>
      </w:pPr>
      <w:r>
        <w:rPr>
          <w:sz w:val="20"/>
        </w:rPr>
        <w:t xml:space="preserve">Е.А. Шестернин</w:t>
      </w:r>
      <w:r>
        <w:rPr>
          <w:sz w:val="20"/>
          <w:szCs w:val="20"/>
          <w:highlight w:val="none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96</w:t>
      </w:r>
      <w:r>
        <w:rPr>
          <w:sz w:val="20"/>
        </w:rPr>
        <w:t xml:space="preserve"> </w:t>
      </w:r>
      <w:r>
        <w:rPr>
          <w:sz w:val="20"/>
        </w:rPr>
        <w:t xml:space="preserve">51</w:t>
      </w:r>
      <w:r>
        <w:rPr>
          <w:sz w:val="20"/>
        </w:rPr>
        <w:t xml:space="preserve"> </w:t>
      </w:r>
      <w:r>
        <w:rPr>
          <w:sz w:val="20"/>
        </w:rPr>
        <w:t xml:space="preserve">70</w:t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  <w:sectPr>
          <w:headerReference w:type="even" r:id="rId9"/>
          <w:footnotePr/>
          <w:endnotePr/>
          <w:type w:val="nextPage"/>
          <w:pgSz w:w="11909" w:h="16834" w:orient="portrait"/>
          <w:pgMar w:top="1134" w:right="567" w:bottom="1134" w:left="1418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shd w:val="clear" w:color="auto" w:fill="auto"/>
            <w:tcW w:w="4608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pStyle w:val="68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4608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pStyle w:val="68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shd w:val="clear" w:color="auto" w:fill="auto"/>
            <w:tcW w:w="4608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pStyle w:val="68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4608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pStyle w:val="68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bookmarkStart w:id="1" w:name="_GoBack"/>
            <w:r/>
            <w:bookmarkEnd w:id="1"/>
            <w:r/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4608" w:type="dxa"/>
            <w:textDirection w:val="lrTb"/>
            <w:noWrap w:val="false"/>
          </w:tcPr>
          <w:p>
            <w:pPr>
              <w:pStyle w:val="684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520" w:type="dxa"/>
            <w:textDirection w:val="lrTb"/>
            <w:noWrap w:val="false"/>
          </w:tcPr>
          <w:p>
            <w:pPr>
              <w:pStyle w:val="684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pStyle w:val="684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spacing w:before="0" w:after="0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99"/>
      </w:pPr>
      <w:r>
        <w:t xml:space="preserve">Н</w:t>
      </w:r>
      <w:r>
        <w:t xml:space="preserve">ачальник отдела прав</w:t>
      </w:r>
      <w:r>
        <w:t xml:space="preserve">ового обеспечения деятельности</w:t>
      </w:r>
      <w:r>
        <w:t xml:space="preserve"> </w:t>
      </w:r>
      <w:r/>
    </w:p>
    <w:p>
      <w:pPr>
        <w:pStyle w:val="699"/>
      </w:pPr>
      <w:r>
        <w:t xml:space="preserve">управления </w:t>
      </w:r>
      <w:r>
        <w:t xml:space="preserve">правового, кадрового и документационного </w:t>
      </w:r>
      <w:r/>
    </w:p>
    <w:p>
      <w:pPr>
        <w:pStyle w:val="699"/>
      </w:pPr>
      <w:r>
        <w:t xml:space="preserve">обеспечения министерства природных ресурсов и экологии </w:t>
      </w:r>
      <w:r/>
    </w:p>
    <w:p>
      <w:pPr>
        <w:pStyle w:val="699"/>
      </w:pPr>
      <w:r>
        <w:t xml:space="preserve">Новосибирской</w:t>
      </w:r>
      <w:r>
        <w:t xml:space="preserve"> области</w:t>
      </w:r>
      <w:r>
        <w:tab/>
        <w:t xml:space="preserve">      </w:t>
      </w:r>
      <w:r>
        <w:t xml:space="preserve">                                                                                   </w:t>
      </w:r>
      <w:r>
        <w:t xml:space="preserve">О.В. Бондаренко</w:t>
      </w:r>
      <w:r/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  <w:t xml:space="preserve">Н.С. Меньших</w:t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0"/>
        </w:rPr>
        <w:t xml:space="preserve">296 51 38</w:t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rStyle w:val="676"/>
      </w:rPr>
      <w:framePr w:wrap="around" w:vAnchor="text" w:hAnchor="margin" w:xAlign="center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end"/>
    </w:r>
    <w:r>
      <w:rPr>
        <w:rStyle w:val="676"/>
      </w:rPr>
    </w:r>
  </w:p>
  <w:p>
    <w:pPr>
      <w:pStyle w:val="6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57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59" w:hanging="1425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993" w:hanging="1425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307" w:hanging="1425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481" w:hanging="1425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67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204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78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12" w:hanging="216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75"/>
    <w:uiPriority w:val="99"/>
  </w:style>
  <w:style w:type="character" w:styleId="45">
    <w:name w:val="Footer Char"/>
    <w:basedOn w:val="672"/>
    <w:link w:val="680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0"/>
    <w:uiPriority w:val="99"/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pPr>
      <w:spacing w:before="100" w:after="100"/>
    </w:pPr>
    <w:rPr>
      <w:sz w:val="24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>
    <w:name w:val="Header"/>
    <w:basedOn w:val="671"/>
    <w:link w:val="695"/>
    <w:uiPriority w:val="99"/>
    <w:pPr>
      <w:tabs>
        <w:tab w:val="center" w:pos="4677" w:leader="none"/>
        <w:tab w:val="right" w:pos="9355" w:leader="none"/>
      </w:tabs>
    </w:pPr>
  </w:style>
  <w:style w:type="character" w:styleId="676">
    <w:name w:val="page number"/>
    <w:basedOn w:val="672"/>
  </w:style>
  <w:style w:type="character" w:styleId="677">
    <w:name w:val="Hyperlink"/>
    <w:uiPriority w:val="99"/>
    <w:unhideWhenUsed/>
    <w:rPr>
      <w:color w:val="0000ff"/>
      <w:u w:val="single"/>
    </w:rPr>
  </w:style>
  <w:style w:type="paragraph" w:styleId="678">
    <w:name w:val="Balloon Text"/>
    <w:basedOn w:val="671"/>
    <w:link w:val="679"/>
    <w:pPr>
      <w:spacing w:before="0" w:after="0"/>
    </w:pPr>
    <w:rPr>
      <w:rFonts w:ascii="Tahoma" w:hAnsi="Tahoma" w:cs="Tahoma"/>
      <w:sz w:val="16"/>
      <w:szCs w:val="16"/>
    </w:rPr>
  </w:style>
  <w:style w:type="character" w:styleId="679" w:customStyle="1">
    <w:name w:val="Текст выноски Знак"/>
    <w:link w:val="678"/>
    <w:rPr>
      <w:rFonts w:ascii="Tahoma" w:hAnsi="Tahoma" w:cs="Tahoma"/>
      <w:sz w:val="16"/>
      <w:szCs w:val="16"/>
    </w:rPr>
  </w:style>
  <w:style w:type="paragraph" w:styleId="680">
    <w:name w:val="Footer"/>
    <w:basedOn w:val="671"/>
    <w:link w:val="681"/>
    <w:uiPriority w:val="99"/>
    <w:pPr>
      <w:spacing w:before="0" w:after="0"/>
      <w:tabs>
        <w:tab w:val="center" w:pos="4677" w:leader="none"/>
        <w:tab w:val="right" w:pos="9355" w:leader="none"/>
      </w:tabs>
    </w:pPr>
  </w:style>
  <w:style w:type="character" w:styleId="681" w:customStyle="1">
    <w:name w:val="Нижний колонтитул Знак"/>
    <w:link w:val="680"/>
    <w:uiPriority w:val="99"/>
    <w:rPr>
      <w:sz w:val="24"/>
    </w:rPr>
  </w:style>
  <w:style w:type="paragraph" w:styleId="682">
    <w:name w:val="List Paragraph"/>
    <w:basedOn w:val="671"/>
    <w:uiPriority w:val="34"/>
    <w:qFormat/>
    <w:pPr>
      <w:contextualSpacing/>
      <w:ind w:left="720"/>
      <w:spacing w:before="0" w:after="0"/>
    </w:pPr>
    <w:rPr>
      <w:szCs w:val="24"/>
    </w:rPr>
  </w:style>
  <w:style w:type="table" w:styleId="683">
    <w:name w:val="Table Grid"/>
    <w:basedOn w:val="67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 w:customStyle="1">
    <w:name w:val="ConsNormal"/>
    <w:uiPriority w:val="99"/>
    <w:pPr>
      <w:ind w:firstLine="720"/>
      <w:widowControl w:val="off"/>
    </w:pPr>
    <w:rPr>
      <w:rFonts w:ascii="Arial" w:hAnsi="Arial"/>
      <w:sz w:val="16"/>
    </w:rPr>
  </w:style>
  <w:style w:type="character" w:styleId="685">
    <w:name w:val="annotation reference"/>
    <w:semiHidden/>
    <w:unhideWhenUsed/>
    <w:rPr>
      <w:sz w:val="16"/>
      <w:szCs w:val="16"/>
    </w:rPr>
  </w:style>
  <w:style w:type="paragraph" w:styleId="686">
    <w:name w:val="annotation text"/>
    <w:basedOn w:val="671"/>
    <w:link w:val="687"/>
    <w:semiHidden/>
    <w:unhideWhenUsed/>
    <w:rPr>
      <w:sz w:val="20"/>
    </w:rPr>
  </w:style>
  <w:style w:type="character" w:styleId="687" w:customStyle="1">
    <w:name w:val="Текст примечания Знак"/>
    <w:basedOn w:val="672"/>
    <w:link w:val="686"/>
    <w:semiHidden/>
  </w:style>
  <w:style w:type="paragraph" w:styleId="688">
    <w:name w:val="annotation subject"/>
    <w:basedOn w:val="686"/>
    <w:next w:val="686"/>
    <w:link w:val="689"/>
    <w:semiHidden/>
    <w:unhideWhenUsed/>
    <w:rPr>
      <w:b/>
      <w:bCs/>
    </w:rPr>
  </w:style>
  <w:style w:type="character" w:styleId="689" w:customStyle="1">
    <w:name w:val="Тема примечания Знак"/>
    <w:link w:val="688"/>
    <w:semiHidden/>
    <w:rPr>
      <w:b/>
      <w:bCs/>
    </w:rPr>
  </w:style>
  <w:style w:type="character" w:styleId="690" w:customStyle="1">
    <w:name w:val="Основной текст_"/>
    <w:basedOn w:val="672"/>
    <w:link w:val="691"/>
    <w:rPr>
      <w:sz w:val="27"/>
      <w:szCs w:val="27"/>
      <w:shd w:val="clear" w:color="auto" w:fill="ffffff"/>
    </w:rPr>
  </w:style>
  <w:style w:type="paragraph" w:styleId="691" w:customStyle="1">
    <w:name w:val="Основной текст3"/>
    <w:basedOn w:val="671"/>
    <w:link w:val="690"/>
    <w:pPr>
      <w:ind w:hanging="1740"/>
      <w:spacing w:before="840" w:after="480" w:line="0" w:lineRule="atLeast"/>
      <w:shd w:val="clear" w:color="auto" w:fill="ffffff"/>
    </w:pPr>
    <w:rPr>
      <w:sz w:val="27"/>
      <w:szCs w:val="27"/>
    </w:rPr>
  </w:style>
  <w:style w:type="paragraph" w:styleId="692" w:customStyle="1">
    <w:name w:val="ConsPlusCel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693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694" w:customStyle="1">
    <w:name w:val="WW8Num2z2"/>
  </w:style>
  <w:style w:type="character" w:styleId="695" w:customStyle="1">
    <w:name w:val="Верхний колонтитул Знак"/>
    <w:basedOn w:val="672"/>
    <w:link w:val="675"/>
    <w:uiPriority w:val="99"/>
    <w:rPr>
      <w:sz w:val="24"/>
    </w:rPr>
  </w:style>
  <w:style w:type="table" w:styleId="696" w:customStyle="1">
    <w:name w:val="Сетка таблицы1"/>
    <w:basedOn w:val="673"/>
    <w:next w:val="68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7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character" w:styleId="698" w:customStyle="1">
    <w:name w:val="apple-converted-space"/>
    <w:basedOn w:val="672"/>
  </w:style>
  <w:style w:type="paragraph" w:styleId="699">
    <w:name w:val="No Spacing"/>
    <w:uiPriority w:val="1"/>
    <w:qFormat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1609-0653-4084-AB45-9BB98B54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revision>62</cp:revision>
  <dcterms:created xsi:type="dcterms:W3CDTF">2018-02-14T07:44:00Z</dcterms:created>
  <dcterms:modified xsi:type="dcterms:W3CDTF">2023-12-11T08:32:29Z</dcterms:modified>
</cp:coreProperties>
</file>