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numPr>
          <w:ilvl w:val="0"/>
          <w:numId w:val="0"/>
        </w:numPr>
        <w:ind w:left="5669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left="5669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P1537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center"/>
        <w:rPr>
          <w:rFonts w:ascii="Times New Roman" w:hAnsi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молодым семьям дополнительных социальных выплат при рождении (усыновлении) одного ребенка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</w:p>
    <w:p>
      <w:pPr>
        <w:pStyle w:val="734"/>
        <w:spacing w:before="0" w:after="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Настоящий Порядок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молодым семьям дополнительных социальных выплат при рождении (усыновлении) одного ребенка регламентирует предоставление за счет средств областного бюджета Новосибирской области дополнительных социальных выплат молодым семьям, участвующим в государственной </w:t>
      </w:r>
      <w:hyperlink r:id="rId9" w:tooltip="https://login.consultant.ru/link/?req=doc&amp;base=LAW&amp;n=439391&amp;dst=100019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программ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(далее – Порядок 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рограмма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), утвержденной постановлением Правительства Российской Федерации от 30.12.2017 № 1710,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при рождении (усыновлении) одного ребенка в размере не менее чем 5 процентов расчетной (средней) стоимости жилья для погашения части кредита или зай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ма, предоставленного на приобретение или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 (далее – дополнительная социальная выплата)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 рамках комплекса процессных мероприятий «Обеспечение жильем молодых семей»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государственной </w:t>
      </w:r>
      <w:hyperlink w:tooltip="#P51" w:anchor="P51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Новосибирской области «Стимулирование развития жилищного строительства в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Финансирование мероприятия программы по предоставлению молодым семьям дополнительных социальных выплат осуществляется в преде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лах бюджетных ассигнований и лимитов бюджетных обязательств, установленных главному распорядителю бюджетных средств - министерству строительства Новосибирской области (далее – министерство)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законом Новосибирской области об областном бюджете Новосибир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eastAsia="ru-RU"/>
        </w:rPr>
        <w:t xml:space="preserve">ской области на текущий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Перечисление бюджетных средств на реализацию указанного мероприятия программы в виде социальных выплат осуществляется с лицевого счета министерства на счета физических лиц.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Дополнительные социальные выплаты предоставляются молодым семьям, утвержденным в списке молодых семей - претендентов на получение социальных выплат текущего года (далее – список претендентов) в рамках программы.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дополнительных социальных выплат осуществляется при условии представления министерству официальной информации муниципальным обра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зованием, подтверждающей рождение (усыновление) ребенка в период за два месяца до момента включения министерством молодой семьи в список претендентов и до окончания срока действия полученного данной семьей свидетельства,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копии свидетельства о рождении ребенка или копии документа об усыновлении ребенка;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копии договора на приобретенное жилое помещение, прошедшего в установленном порядке государственную регистрацию, либо копий договора строительного подряда на строительство индивидуального жилого дома и локального сметного расчета на данное строительство;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копии кредитного договора (договора займа) на приобретение жилого помещения или строительство индивидуального жилого дома (при наличии такового);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отчетности о реализации средств социальной выплаты данной молодой семьей, предусмотренной соглашением с муниципальным образованием о реализации программы;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информации о банковских реквизитах счета одного из супругов молодой семьи в кредитной организации для зачисления дополнительной социальной выплаты.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Указанный пакет документов представляется не позднее одного месяца после окончания срока действия свидетельства, полученного данной семьей.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highlight w:val="none"/>
          <w:lang w:eastAsia="ru-RU"/>
        </w:rPr>
        <w:t xml:space="preserve">4. По результатам рассмотрения документов и проверки представленных муниципальным образованием сведений, министерство устанавливает наличие либо отсутствие у молодой семьи права на предоставление дополнительной социальной выплаты.</w:t>
      </w:r>
      <w:r>
        <w:rPr>
          <w:rFonts w:ascii="Times New Roman" w:hAnsi="Times New Roman" w:eastAsia="Arial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" w:cs="Times New Roman" w:eastAsiaTheme="minorEastAsia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наличии у молодой семьи права на предостав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ление дополнительной социальной выплаты министерство не чаще одного раза в квартал утверждает список молодых семей - претендентов на получение дополнительных социальных выплат по Новосибирской области, родивших (усыновивших) одного ребенка, утвержденных в </w:t>
      </w:r>
      <w:hyperlink w:tooltip="#P1787" w:anchor="P1787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списке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молодых семей - претендентов на получение социальных выплат соответствующего года, по форме согласно приложению  к настоящему Порядку.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Для целей расчета дополнительной социальной выплаты расчетная (средняя) стоимость жилья определяется исходя из размера общей площади жилого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помещения, установленного в соответствии с Правилами предоставления молодым семьям социальных выплат на приобретение (строительство) жилья и их использования, предусмотренными приложением № 1 к особенностям реализации отдельных мероприятий государственной </w:t>
      </w:r>
      <w:hyperlink r:id="rId10" w:tooltip="https://login.consultant.ru/link/?req=doc&amp;base=LAW&amp;n=439391&amp;dst=100019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 </w:t>
      </w:r>
      <w:bookmarkStart w:id="1" w:name="_GoBack"/>
      <w:r>
        <w:rPr>
          <w:highlight w:val="non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none"/>
        </w:rPr>
        <w:t xml:space="preserve">17.12.2010 № 1050, на состав молодой семьи с учетом рожденного (усыновленного) ребенка и нор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матива стоимости 1 кв. м общей площади жилья по муниципальному образованию из списка претендентов. Аналогичный расчет размера дополнительной социальной выплаты производится и в случае рождения (усыновления) молодой семьей одновременно двух или более детей.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Дополнительная социальная выплата предоставляется молодой семье однократно.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2" w:name="P1631"/>
      <w:r>
        <w:rPr>
          <w:highlight w:val="none"/>
        </w:rPr>
      </w:r>
      <w:bookmarkEnd w:id="2"/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Основаниями для отказа в предоставлении дополнительной социальной выплаты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непредставление или представление не всех документов, предусмотренных настоящим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недостоверность сведений, содержащихся в представленных документах;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размер предоставленных моло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дой семье средств социальной выплаты и средств (части средств) материнского (семейного) капитала (при наличии) равен сумме, указанной в договоре на приобретенное жилое помещение либо в локальном сметном расчете на строительство индивидуального жилого дома.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 Об утверждении молодой семьи в списке молодых семей - претендентов на получение доп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олнительных социальных выплат и факте перечисления средств дополнительной социальной выплаты молодой семье или отсутствии у молодой семьи права на предоставление дополнительной социальной выплаты министерство письменно уведомляет муниципальное образование.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Повторное обращение муниципального образования допускается после устранения оснований для отказа, предусмотренных </w:t>
      </w:r>
      <w:hyperlink w:tooltip="#P1631" w:anchor="P1631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7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 В случае рождения (усыновления) молодой семьей, участвующей в программе в текущем году, ребенка в период ранее чем за два месяца до момента включения министерством молодо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семьи в список претендентов текущего года и отсутствия такой информации в министерстве в письменном виде, дополнительная социальная выплата предоставляется за счет средств местного бюджета в размере не менее чем 5 процентов от расчетной (средней) стоимос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 жилья для погашения части кредита или займа, предоставленного на приобретение или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4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68"/>
    <w:uiPriority w:val="99"/>
    <w:unhideWhenUsed/>
    <w:rPr>
      <w:vertAlign w:val="superscript"/>
    </w:rPr>
  </w:style>
  <w:style w:type="character" w:styleId="656">
    <w:name w:val="endnote reference"/>
    <w:basedOn w:val="668"/>
    <w:uiPriority w:val="99"/>
    <w:semiHidden/>
    <w:unhideWhenUsed/>
    <w:rPr>
      <w:vertAlign w:val="superscript"/>
    </w:rPr>
  </w:style>
  <w:style w:type="paragraph" w:styleId="657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65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next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  <w:qFormat/>
  </w:style>
  <w:style w:type="character" w:styleId="669" w:customStyle="1">
    <w:name w:val="Heading 1 Char"/>
    <w:basedOn w:val="668"/>
    <w:uiPriority w:val="9"/>
    <w:qFormat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8"/>
    <w:uiPriority w:val="9"/>
    <w:qFormat/>
    <w:rPr>
      <w:rFonts w:ascii="Arial" w:hAnsi="Arial" w:eastAsia="Arial" w:cs="Arial"/>
      <w:sz w:val="34"/>
    </w:rPr>
  </w:style>
  <w:style w:type="character" w:styleId="671" w:customStyle="1">
    <w:name w:val="Heading 3 Char"/>
    <w:basedOn w:val="668"/>
    <w:uiPriority w:val="9"/>
    <w:qFormat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8"/>
    <w:uiPriority w:val="10"/>
    <w:qFormat/>
    <w:rPr>
      <w:sz w:val="48"/>
      <w:szCs w:val="48"/>
    </w:rPr>
  </w:style>
  <w:style w:type="character" w:styleId="679" w:customStyle="1">
    <w:name w:val="Subtitle Char"/>
    <w:basedOn w:val="668"/>
    <w:uiPriority w:val="11"/>
    <w:qFormat/>
    <w:rPr>
      <w:sz w:val="24"/>
      <w:szCs w:val="24"/>
    </w:rPr>
  </w:style>
  <w:style w:type="character" w:styleId="680" w:customStyle="1">
    <w:name w:val="Quote Char"/>
    <w:uiPriority w:val="29"/>
    <w:qFormat/>
    <w:rPr>
      <w:i/>
    </w:rPr>
  </w:style>
  <w:style w:type="character" w:styleId="681" w:customStyle="1">
    <w:name w:val="Intense Quote Char"/>
    <w:uiPriority w:val="30"/>
    <w:qFormat/>
    <w:rPr>
      <w:i/>
    </w:rPr>
  </w:style>
  <w:style w:type="character" w:styleId="682" w:customStyle="1">
    <w:name w:val="Header Char"/>
    <w:basedOn w:val="668"/>
    <w:uiPriority w:val="99"/>
    <w:qFormat/>
  </w:style>
  <w:style w:type="character" w:styleId="683" w:customStyle="1">
    <w:name w:val="Caption Char"/>
    <w:uiPriority w:val="99"/>
    <w:qFormat/>
  </w:style>
  <w:style w:type="character" w:styleId="684" w:customStyle="1">
    <w:name w:val="Footnote Text Char"/>
    <w:uiPriority w:val="99"/>
    <w:qFormat/>
    <w:rPr>
      <w:sz w:val="18"/>
    </w:rPr>
  </w:style>
  <w:style w:type="character" w:styleId="685" w:customStyle="1">
    <w:name w:val="Endnote Text Char"/>
    <w:uiPriority w:val="99"/>
    <w:qFormat/>
    <w:rPr>
      <w:sz w:val="20"/>
    </w:rPr>
  </w:style>
  <w:style w:type="character" w:styleId="686" w:customStyle="1">
    <w:name w:val="Заголовок 2 Знак"/>
    <w:basedOn w:val="668"/>
    <w:link w:val="660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Заголовок 6 Знак"/>
    <w:basedOn w:val="668"/>
    <w:link w:val="6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68"/>
    <w:link w:val="66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68"/>
    <w:link w:val="66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68"/>
    <w:link w:val="6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Заголовок Знак"/>
    <w:basedOn w:val="668"/>
    <w:uiPriority w:val="10"/>
    <w:qFormat/>
    <w:rPr>
      <w:sz w:val="48"/>
      <w:szCs w:val="48"/>
    </w:rPr>
  </w:style>
  <w:style w:type="character" w:styleId="692" w:customStyle="1">
    <w:name w:val="Подзаголовок Знак"/>
    <w:basedOn w:val="668"/>
    <w:uiPriority w:val="11"/>
    <w:qFormat/>
    <w:rPr>
      <w:sz w:val="24"/>
      <w:szCs w:val="24"/>
    </w:rPr>
  </w:style>
  <w:style w:type="character" w:styleId="693" w:customStyle="1">
    <w:name w:val="Цитата 2 Знак"/>
    <w:link w:val="686"/>
    <w:uiPriority w:val="29"/>
    <w:qFormat/>
    <w:rPr>
      <w:i/>
    </w:rPr>
  </w:style>
  <w:style w:type="character" w:styleId="694" w:customStyle="1">
    <w:name w:val="Выделенная цитата Знак"/>
    <w:uiPriority w:val="30"/>
    <w:qFormat/>
    <w:rPr>
      <w:i/>
    </w:rPr>
  </w:style>
  <w:style w:type="character" w:styleId="695" w:customStyle="1">
    <w:name w:val="Верхний колонтитул Знак"/>
    <w:basedOn w:val="668"/>
    <w:uiPriority w:val="99"/>
    <w:qFormat/>
  </w:style>
  <w:style w:type="character" w:styleId="696" w:customStyle="1">
    <w:name w:val="Footer Char"/>
    <w:basedOn w:val="668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Интернет-ссылка"/>
    <w:uiPriority w:val="99"/>
    <w:unhideWhenUsed/>
    <w:rPr>
      <w:color w:val="0563c1" w:themeColor="hyperlink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basedOn w:val="668"/>
    <w:uiPriority w:val="99"/>
    <w:unhideWhenUsed/>
    <w:qFormat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Привязка концевой сноски"/>
    <w:rPr>
      <w:vertAlign w:val="superscript"/>
    </w:rPr>
  </w:style>
  <w:style w:type="character" w:styleId="704">
    <w:name w:val="Endnote Characters"/>
    <w:basedOn w:val="668"/>
    <w:uiPriority w:val="99"/>
    <w:semiHidden/>
    <w:unhideWhenUsed/>
    <w:qFormat/>
    <w:rPr>
      <w:vertAlign w:val="superscript"/>
    </w:rPr>
  </w:style>
  <w:style w:type="character" w:styleId="705" w:customStyle="1">
    <w:name w:val="Текст выноски Знак"/>
    <w:basedOn w:val="668"/>
    <w:uiPriority w:val="99"/>
    <w:semiHidden/>
    <w:qFormat/>
    <w:rPr>
      <w:rFonts w:ascii="Segoe UI" w:hAnsi="Segoe UI" w:cs="Segoe UI"/>
      <w:sz w:val="18"/>
      <w:szCs w:val="18"/>
    </w:rPr>
  </w:style>
  <w:style w:type="character" w:styleId="706" w:customStyle="1">
    <w:name w:val="Текст примечания Знак"/>
    <w:basedOn w:val="668"/>
    <w:uiPriority w:val="99"/>
    <w:semiHidden/>
    <w:qFormat/>
    <w:rPr>
      <w:sz w:val="20"/>
      <w:szCs w:val="20"/>
    </w:rPr>
  </w:style>
  <w:style w:type="character" w:styleId="707">
    <w:name w:val="annotation reference"/>
    <w:basedOn w:val="668"/>
    <w:uiPriority w:val="99"/>
    <w:semiHidden/>
    <w:unhideWhenUsed/>
    <w:qFormat/>
    <w:rPr>
      <w:sz w:val="16"/>
      <w:szCs w:val="16"/>
    </w:rPr>
  </w:style>
  <w:style w:type="paragraph" w:styleId="708">
    <w:name w:val="Заголовок"/>
    <w:basedOn w:val="658"/>
    <w:next w:val="70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9">
    <w:name w:val="Body Text"/>
    <w:basedOn w:val="658"/>
    <w:pPr>
      <w:spacing w:before="0" w:after="140" w:line="276" w:lineRule="auto"/>
    </w:pPr>
  </w:style>
  <w:style w:type="paragraph" w:styleId="710">
    <w:name w:val="List"/>
    <w:basedOn w:val="709"/>
    <w:rPr>
      <w:rFonts w:cs="Droid Sans Devanagari"/>
    </w:rPr>
  </w:style>
  <w:style w:type="paragraph" w:styleId="711">
    <w:name w:val="Caption"/>
    <w:basedOn w:val="65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12">
    <w:name w:val="Указатель"/>
    <w:basedOn w:val="658"/>
    <w:qFormat/>
    <w:pPr>
      <w:suppressLineNumbers/>
    </w:pPr>
    <w:rPr>
      <w:rFonts w:cs="Droid Sans Devanagari"/>
    </w:rPr>
  </w:style>
  <w:style w:type="paragraph" w:styleId="71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4">
    <w:name w:val="Title"/>
    <w:basedOn w:val="658"/>
    <w:next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5">
    <w:name w:val="Subtitle"/>
    <w:basedOn w:val="658"/>
    <w:next w:val="658"/>
    <w:uiPriority w:val="11"/>
    <w:qFormat/>
    <w:pPr>
      <w:spacing w:before="200" w:after="200"/>
    </w:pPr>
    <w:rPr>
      <w:sz w:val="24"/>
      <w:szCs w:val="24"/>
    </w:rPr>
  </w:style>
  <w:style w:type="paragraph" w:styleId="716">
    <w:name w:val="Quote"/>
    <w:basedOn w:val="658"/>
    <w:next w:val="658"/>
    <w:link w:val="693"/>
    <w:uiPriority w:val="29"/>
    <w:qFormat/>
    <w:pPr>
      <w:ind w:left="720" w:right="720" w:firstLine="0"/>
    </w:pPr>
    <w:rPr>
      <w:i/>
    </w:rPr>
  </w:style>
  <w:style w:type="paragraph" w:styleId="717">
    <w:name w:val="Intense Quote"/>
    <w:basedOn w:val="658"/>
    <w:next w:val="658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8">
    <w:name w:val="Верхний и нижний колонтитулы"/>
    <w:basedOn w:val="658"/>
    <w:qFormat/>
  </w:style>
  <w:style w:type="paragraph" w:styleId="719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20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21">
    <w:name w:val="Caption"/>
    <w:basedOn w:val="658"/>
    <w:next w:val="65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22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3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4">
    <w:name w:val="toc 1"/>
    <w:basedOn w:val="658"/>
    <w:next w:val="658"/>
    <w:uiPriority w:val="39"/>
    <w:unhideWhenUsed/>
    <w:pPr>
      <w:spacing w:before="0" w:after="57"/>
    </w:pPr>
  </w:style>
  <w:style w:type="paragraph" w:styleId="725">
    <w:name w:val="toc 3"/>
    <w:basedOn w:val="658"/>
    <w:next w:val="658"/>
    <w:uiPriority w:val="39"/>
    <w:unhideWhenUsed/>
    <w:pPr>
      <w:ind w:left="567" w:firstLine="0"/>
      <w:spacing w:before="0" w:after="57"/>
    </w:pPr>
  </w:style>
  <w:style w:type="paragraph" w:styleId="726">
    <w:name w:val="toc 4"/>
    <w:basedOn w:val="658"/>
    <w:next w:val="658"/>
    <w:uiPriority w:val="39"/>
    <w:unhideWhenUsed/>
    <w:pPr>
      <w:ind w:left="850" w:firstLine="0"/>
      <w:spacing w:before="0" w:after="57"/>
    </w:pPr>
  </w:style>
  <w:style w:type="paragraph" w:styleId="727">
    <w:name w:val="toc 5"/>
    <w:basedOn w:val="658"/>
    <w:next w:val="658"/>
    <w:uiPriority w:val="39"/>
    <w:unhideWhenUsed/>
    <w:pPr>
      <w:ind w:left="1134" w:firstLine="0"/>
      <w:spacing w:before="0" w:after="57"/>
    </w:pPr>
  </w:style>
  <w:style w:type="paragraph" w:styleId="728">
    <w:name w:val="toc 6"/>
    <w:basedOn w:val="658"/>
    <w:next w:val="658"/>
    <w:uiPriority w:val="39"/>
    <w:unhideWhenUsed/>
    <w:pPr>
      <w:ind w:left="1417" w:firstLine="0"/>
      <w:spacing w:before="0" w:after="57"/>
    </w:pPr>
  </w:style>
  <w:style w:type="paragraph" w:styleId="729">
    <w:name w:val="toc 7"/>
    <w:basedOn w:val="658"/>
    <w:next w:val="658"/>
    <w:uiPriority w:val="39"/>
    <w:unhideWhenUsed/>
    <w:pPr>
      <w:ind w:left="1701" w:firstLine="0"/>
      <w:spacing w:before="0" w:after="57"/>
    </w:pPr>
  </w:style>
  <w:style w:type="paragraph" w:styleId="730">
    <w:name w:val="toc 8"/>
    <w:basedOn w:val="658"/>
    <w:next w:val="658"/>
    <w:uiPriority w:val="39"/>
    <w:unhideWhenUsed/>
    <w:pPr>
      <w:ind w:left="1984" w:firstLine="0"/>
      <w:spacing w:before="0" w:after="57"/>
    </w:pPr>
  </w:style>
  <w:style w:type="paragraph" w:styleId="731">
    <w:name w:val="toc 9"/>
    <w:basedOn w:val="658"/>
    <w:next w:val="658"/>
    <w:uiPriority w:val="39"/>
    <w:unhideWhenUsed/>
    <w:pPr>
      <w:ind w:left="2268" w:firstLine="0"/>
      <w:spacing w:before="0" w:after="57"/>
    </w:pPr>
  </w:style>
  <w:style w:type="paragraph" w:styleId="732">
    <w:name w:val="TOC Heading"/>
    <w:uiPriority w:val="39"/>
    <w:unhideWhenUsed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3">
    <w:name w:val="table of figures"/>
    <w:basedOn w:val="658"/>
    <w:next w:val="658"/>
    <w:uiPriority w:val="99"/>
    <w:unhideWhenUsed/>
    <w:qFormat/>
    <w:pPr>
      <w:spacing w:before="0" w:after="0"/>
    </w:pPr>
  </w:style>
  <w:style w:type="paragraph" w:styleId="734" w:customStyle="1">
    <w:name w:val="ConsPlusNormal"/>
    <w:qFormat/>
    <w:pPr>
      <w:jc w:val="left"/>
      <w:spacing w:before="0" w:after="0" w:line="240" w:lineRule="auto"/>
      <w:widowControl w:val="off"/>
    </w:pPr>
    <w:rPr>
      <w:rFonts w:ascii="Arial" w:hAnsi="Arial" w:eastAsia="Arial" w:cs="Arial" w:eastAsiaTheme="minorEastAsia"/>
      <w:color w:val="auto"/>
      <w:sz w:val="20"/>
      <w:szCs w:val="22"/>
      <w:lang w:val="ru-RU" w:eastAsia="ru-RU" w:bidi="ar-SA"/>
    </w:rPr>
  </w:style>
  <w:style w:type="paragraph" w:styleId="735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736" w:customStyle="1">
    <w:name w:val="ConsPlusTitle"/>
    <w:qFormat/>
    <w:pPr>
      <w:jc w:val="left"/>
      <w:spacing w:before="0" w:after="0" w:line="240" w:lineRule="auto"/>
      <w:widowControl w:val="off"/>
    </w:pPr>
    <w:rPr>
      <w:rFonts w:ascii="Arial" w:hAnsi="Arial" w:eastAsia="Arial" w:cs="Arial" w:eastAsiaTheme="minorEastAsia"/>
      <w:b/>
      <w:color w:val="auto"/>
      <w:sz w:val="20"/>
      <w:szCs w:val="22"/>
      <w:lang w:val="ru-RU" w:eastAsia="ru-RU" w:bidi="ar-SA"/>
    </w:rPr>
  </w:style>
  <w:style w:type="paragraph" w:styleId="737" w:customStyle="1">
    <w:name w:val="ConsPlusCell"/>
    <w:qFormat/>
    <w:pPr>
      <w:jc w:val="left"/>
      <w:spacing w:before="0" w:after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738" w:customStyle="1">
    <w:name w:val="ConsPlusDocList"/>
    <w:qFormat/>
    <w:pPr>
      <w:jc w:val="left"/>
      <w:spacing w:before="0" w:after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739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Arial" w:cs="Tahoma" w:eastAsiaTheme="minorEastAsia"/>
      <w:color w:val="auto"/>
      <w:sz w:val="20"/>
      <w:szCs w:val="22"/>
      <w:lang w:val="ru-RU" w:eastAsia="ru-RU" w:bidi="ar-SA"/>
    </w:rPr>
  </w:style>
  <w:style w:type="paragraph" w:styleId="740" w:customStyle="1">
    <w:name w:val="ConsPlusJurTerm"/>
    <w:qFormat/>
    <w:pPr>
      <w:jc w:val="left"/>
      <w:spacing w:before="0" w:after="0" w:line="240" w:lineRule="auto"/>
      <w:widowControl w:val="off"/>
    </w:pPr>
    <w:rPr>
      <w:rFonts w:ascii="Tahoma" w:hAnsi="Tahoma" w:eastAsia="Arial" w:cs="Tahoma" w:eastAsiaTheme="minorEastAsia"/>
      <w:color w:val="auto"/>
      <w:sz w:val="26"/>
      <w:szCs w:val="22"/>
      <w:lang w:val="ru-RU" w:eastAsia="ru-RU" w:bidi="ar-SA"/>
    </w:rPr>
  </w:style>
  <w:style w:type="paragraph" w:styleId="741" w:customStyle="1">
    <w:name w:val="ConsPlusTextList"/>
    <w:qFormat/>
    <w:pPr>
      <w:jc w:val="left"/>
      <w:spacing w:before="0" w:after="0" w:line="240" w:lineRule="auto"/>
      <w:widowControl w:val="off"/>
    </w:pPr>
    <w:rPr>
      <w:rFonts w:ascii="Arial" w:hAnsi="Arial" w:eastAsia="Arial" w:cs="Arial" w:eastAsiaTheme="minorEastAsia"/>
      <w:color w:val="auto"/>
      <w:sz w:val="20"/>
      <w:szCs w:val="22"/>
      <w:lang w:val="ru-RU" w:eastAsia="ru-RU" w:bidi="ar-SA"/>
    </w:rPr>
  </w:style>
  <w:style w:type="paragraph" w:styleId="742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43">
    <w:name w:val="List Paragraph"/>
    <w:basedOn w:val="658"/>
    <w:uiPriority w:val="34"/>
    <w:qFormat/>
    <w:pPr>
      <w:contextualSpacing/>
      <w:ind w:left="720" w:firstLine="0"/>
      <w:spacing w:before="0" w:after="200"/>
    </w:pPr>
  </w:style>
  <w:style w:type="paragraph" w:styleId="744">
    <w:name w:val="annotation text"/>
    <w:basedOn w:val="65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styleId="745" w:default="1">
    <w:name w:val="No List"/>
    <w:uiPriority w:val="99"/>
    <w:semiHidden/>
    <w:unhideWhenUsed/>
    <w:qFormat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"/>
    <w:basedOn w:val="7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8" w:customStyle="1">
    <w:name w:val="Table Grid Light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7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777" w:customStyle="1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778" w:customStyle="1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79" w:customStyle="1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780" w:customStyle="1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17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41" w:customStyle="1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42" w:customStyle="1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43" w:customStyle="1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44" w:customStyle="1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45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3" w:customStyle="1">
    <w:name w:val="Lined - Accent 1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54" w:customStyle="1">
    <w:name w:val="Lined - Accent 2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55" w:customStyle="1">
    <w:name w:val="Lined - Accent 3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56" w:customStyle="1">
    <w:name w:val="Lined - Accent 4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57" w:customStyle="1">
    <w:name w:val="Lined - Accent 5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58" w:customStyle="1">
    <w:name w:val="Lined - Accent 6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59" w:customStyle="1">
    <w:name w:val="Bordered &amp; Lined - Accent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0" w:customStyle="1">
    <w:name w:val="Bordered &amp; Lined - Accent 1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1" w:customStyle="1">
    <w:name w:val="Bordered &amp; Lined - Accent 2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2" w:customStyle="1">
    <w:name w:val="Bordered &amp; Lined - Accent 3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3" w:customStyle="1">
    <w:name w:val="Bordered &amp; Lined - Accent 4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64" w:customStyle="1">
    <w:name w:val="Bordered &amp; Lined - Accent 5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65" w:customStyle="1">
    <w:name w:val="Bordered &amp; Lined - Accent 6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66" w:customStyle="1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7" w:customStyle="1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69" w:customStyle="1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70" w:customStyle="1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71" w:customStyle="1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72" w:customStyle="1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LAW&amp;n=439391&amp;dst=100019" TargetMode="External"/><Relationship Id="rId10" Type="http://schemas.openxmlformats.org/officeDocument/2006/relationships/hyperlink" Target="https://login.consultant.ru/link/?req=doc&amp;base=LAW&amp;n=439391&amp;dst=1000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F219-677F-4F64-B037-19F07637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Сария Мухаметовна</dc:creator>
  <dc:description/>
  <dc:language>ru-RU</dc:language>
  <cp:revision>11</cp:revision>
  <dcterms:created xsi:type="dcterms:W3CDTF">2024-05-08T04:41:00Z</dcterms:created>
  <dcterms:modified xsi:type="dcterms:W3CDTF">2024-05-22T00:56:01Z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